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DCD" w:rsidRDefault="00FC7DCD" w:rsidP="00FC7DCD">
      <w:pPr>
        <w:jc w:val="both"/>
        <w:rPr>
          <w:rFonts w:ascii="Georgia" w:hAnsi="Georgia"/>
          <w:sz w:val="20"/>
          <w:szCs w:val="20"/>
        </w:rPr>
      </w:pPr>
      <w:r>
        <w:rPr>
          <w:rFonts w:ascii="Georgia" w:hAnsi="Georgia"/>
          <w:sz w:val="20"/>
          <w:szCs w:val="20"/>
        </w:rPr>
        <w:t>The purpose of this document is to clarify per unit distribution (</w:t>
      </w:r>
      <w:proofErr w:type="spellStart"/>
      <w:r>
        <w:rPr>
          <w:rFonts w:ascii="Georgia" w:hAnsi="Georgia"/>
          <w:sz w:val="20"/>
          <w:szCs w:val="20"/>
        </w:rPr>
        <w:t>i.e</w:t>
      </w:r>
      <w:proofErr w:type="spellEnd"/>
      <w:r>
        <w:rPr>
          <w:rFonts w:ascii="Georgia" w:hAnsi="Georgia"/>
          <w:sz w:val="20"/>
          <w:szCs w:val="20"/>
        </w:rPr>
        <w:t xml:space="preserve"> pay-out ratio) and its bifurcation between (a) dividend; and (b) return of capital. </w:t>
      </w:r>
    </w:p>
    <w:p w:rsidR="001D04E5" w:rsidRPr="00F31DAC" w:rsidRDefault="001D04E5" w:rsidP="001F7795">
      <w:pPr>
        <w:pStyle w:val="ListParagraph"/>
        <w:numPr>
          <w:ilvl w:val="0"/>
          <w:numId w:val="7"/>
        </w:numPr>
        <w:ind w:left="360"/>
        <w:jc w:val="both"/>
        <w:rPr>
          <w:rFonts w:ascii="Georgia" w:hAnsi="Georgia"/>
          <w:b/>
          <w:sz w:val="20"/>
          <w:szCs w:val="20"/>
        </w:rPr>
      </w:pPr>
      <w:r w:rsidRPr="00F31DAC">
        <w:rPr>
          <w:rFonts w:ascii="Georgia" w:hAnsi="Georgia"/>
          <w:b/>
          <w:sz w:val="20"/>
          <w:szCs w:val="20"/>
        </w:rPr>
        <w:t>DETERMINATION OF PAY-OUT RATIO</w:t>
      </w:r>
    </w:p>
    <w:p w:rsidR="00142748" w:rsidRDefault="008D441E" w:rsidP="00142748">
      <w:pPr>
        <w:jc w:val="both"/>
        <w:rPr>
          <w:rFonts w:ascii="Georgia" w:hAnsi="Georgia"/>
          <w:sz w:val="20"/>
          <w:szCs w:val="20"/>
        </w:rPr>
      </w:pPr>
      <w:r>
        <w:rPr>
          <w:rFonts w:ascii="Georgia" w:hAnsi="Georgia"/>
          <w:sz w:val="20"/>
          <w:szCs w:val="20"/>
        </w:rPr>
        <w:t>For determining the pay-out ratio, the net income for the year after taxation</w:t>
      </w:r>
      <w:r w:rsidR="009728E5">
        <w:rPr>
          <w:rFonts w:ascii="Georgia" w:hAnsi="Georgia"/>
          <w:sz w:val="20"/>
          <w:szCs w:val="20"/>
        </w:rPr>
        <w:t xml:space="preserve"> will be the starting point. </w:t>
      </w:r>
      <w:r>
        <w:rPr>
          <w:rFonts w:ascii="Georgia" w:hAnsi="Georgia"/>
          <w:sz w:val="20"/>
          <w:szCs w:val="20"/>
        </w:rPr>
        <w:t xml:space="preserve">The amount of </w:t>
      </w:r>
      <w:r w:rsidRPr="008D441E">
        <w:rPr>
          <w:rFonts w:ascii="Georgia" w:hAnsi="Georgia"/>
          <w:sz w:val="20"/>
          <w:szCs w:val="20"/>
        </w:rPr>
        <w:t>capital gains realized and unrealized will be de</w:t>
      </w:r>
      <w:r>
        <w:rPr>
          <w:rFonts w:ascii="Georgia" w:hAnsi="Georgia"/>
          <w:sz w:val="20"/>
          <w:szCs w:val="20"/>
        </w:rPr>
        <w:t>ducted from this amount in order to arrive at the amount on which mandatory distribution is required in order to claim tax benefit. The fund has the discretion to distribute 90 percent or more in order to claim tax exemption. The income already paid on units redeemed will be adjusted from the amount so determined</w:t>
      </w:r>
      <w:r w:rsidR="00E2035E">
        <w:rPr>
          <w:rFonts w:ascii="Georgia" w:hAnsi="Georgia"/>
          <w:sz w:val="20"/>
          <w:szCs w:val="20"/>
        </w:rPr>
        <w:t xml:space="preserve"> (</w:t>
      </w:r>
      <w:proofErr w:type="spellStart"/>
      <w:r w:rsidR="00E2035E">
        <w:rPr>
          <w:rFonts w:ascii="Georgia" w:hAnsi="Georgia"/>
          <w:sz w:val="20"/>
          <w:szCs w:val="20"/>
        </w:rPr>
        <w:t>i.e</w:t>
      </w:r>
      <w:proofErr w:type="spellEnd"/>
      <w:r w:rsidR="00E2035E">
        <w:rPr>
          <w:rFonts w:ascii="Georgia" w:hAnsi="Georgia"/>
          <w:sz w:val="20"/>
          <w:szCs w:val="20"/>
        </w:rPr>
        <w:t xml:space="preserve"> 90 percent or more as decided by AMC)</w:t>
      </w:r>
      <w:r>
        <w:rPr>
          <w:rFonts w:ascii="Georgia" w:hAnsi="Georgia"/>
          <w:sz w:val="20"/>
          <w:szCs w:val="20"/>
        </w:rPr>
        <w:t xml:space="preserve"> in order to arrive at the amount available for distribution.</w:t>
      </w:r>
      <w:r w:rsidR="00E2035E">
        <w:rPr>
          <w:rFonts w:ascii="Georgia" w:hAnsi="Georgia"/>
          <w:sz w:val="20"/>
          <w:szCs w:val="20"/>
        </w:rPr>
        <w:t xml:space="preserve"> The Pay-out ratio</w:t>
      </w:r>
      <w:r w:rsidR="00142748">
        <w:rPr>
          <w:rFonts w:ascii="Georgia" w:hAnsi="Georgia"/>
          <w:sz w:val="20"/>
          <w:szCs w:val="20"/>
        </w:rPr>
        <w:t xml:space="preserve"> will be determined as follows:</w:t>
      </w:r>
    </w:p>
    <w:p w:rsidR="00142748" w:rsidRDefault="00D022EA" w:rsidP="00142748">
      <w:pPr>
        <w:pStyle w:val="ListParagraph"/>
        <w:numPr>
          <w:ilvl w:val="0"/>
          <w:numId w:val="1"/>
        </w:numPr>
        <w:jc w:val="both"/>
        <w:rPr>
          <w:rFonts w:ascii="Georgia" w:hAnsi="Georgia"/>
          <w:sz w:val="20"/>
          <w:szCs w:val="20"/>
        </w:rPr>
      </w:pPr>
      <w:r>
        <w:rPr>
          <w:rFonts w:ascii="Georgia" w:hAnsi="Georgia"/>
          <w:sz w:val="20"/>
          <w:szCs w:val="20"/>
        </w:rPr>
        <w:t>The amount per unit determined u</w:t>
      </w:r>
      <w:r w:rsidR="00142748">
        <w:rPr>
          <w:rFonts w:ascii="Georgia" w:hAnsi="Georgia"/>
          <w:sz w:val="20"/>
          <w:szCs w:val="20"/>
        </w:rPr>
        <w:t xml:space="preserve">sing </w:t>
      </w:r>
      <w:r w:rsidR="00142748" w:rsidRPr="00142748">
        <w:rPr>
          <w:rFonts w:ascii="Georgia" w:hAnsi="Georgia"/>
          <w:sz w:val="20"/>
          <w:szCs w:val="20"/>
        </w:rPr>
        <w:t xml:space="preserve">opening ex-NAV </w:t>
      </w:r>
      <w:r w:rsidR="00F31DAC">
        <w:rPr>
          <w:rFonts w:ascii="Georgia" w:hAnsi="Georgia"/>
          <w:sz w:val="20"/>
          <w:szCs w:val="20"/>
        </w:rPr>
        <w:t xml:space="preserve">(as </w:t>
      </w:r>
      <w:r w:rsidR="00FC7DCD">
        <w:rPr>
          <w:rFonts w:ascii="Georgia" w:hAnsi="Georgia"/>
          <w:sz w:val="20"/>
          <w:szCs w:val="20"/>
        </w:rPr>
        <w:t xml:space="preserve">explained </w:t>
      </w:r>
      <w:r w:rsidR="00F31DAC">
        <w:rPr>
          <w:rFonts w:ascii="Georgia" w:hAnsi="Georgia"/>
          <w:sz w:val="20"/>
          <w:szCs w:val="20"/>
        </w:rPr>
        <w:t xml:space="preserve">in paragraph 2 below) </w:t>
      </w:r>
      <w:r w:rsidR="00142748" w:rsidRPr="00142748">
        <w:rPr>
          <w:rFonts w:ascii="Georgia" w:hAnsi="Georgia"/>
          <w:sz w:val="20"/>
          <w:szCs w:val="20"/>
        </w:rPr>
        <w:t>in case the fund has remained profitable throughout the year</w:t>
      </w:r>
      <w:r w:rsidR="00905127">
        <w:rPr>
          <w:rFonts w:ascii="Georgia" w:hAnsi="Georgia"/>
          <w:sz w:val="20"/>
          <w:szCs w:val="20"/>
        </w:rPr>
        <w:t>.</w:t>
      </w:r>
    </w:p>
    <w:p w:rsidR="00906477" w:rsidRDefault="00906477" w:rsidP="00906477">
      <w:pPr>
        <w:pStyle w:val="ListParagraph"/>
        <w:jc w:val="both"/>
        <w:rPr>
          <w:rFonts w:ascii="Georgia" w:hAnsi="Georgia"/>
          <w:sz w:val="20"/>
          <w:szCs w:val="20"/>
        </w:rPr>
      </w:pPr>
    </w:p>
    <w:p w:rsidR="00906477" w:rsidRPr="00906477" w:rsidRDefault="00906477" w:rsidP="00906477">
      <w:pPr>
        <w:pStyle w:val="ListParagraph"/>
        <w:numPr>
          <w:ilvl w:val="0"/>
          <w:numId w:val="1"/>
        </w:numPr>
        <w:jc w:val="both"/>
        <w:rPr>
          <w:rFonts w:ascii="Georgia" w:hAnsi="Georgia"/>
          <w:sz w:val="20"/>
          <w:szCs w:val="20"/>
        </w:rPr>
      </w:pPr>
      <w:r>
        <w:rPr>
          <w:rFonts w:ascii="Georgia" w:hAnsi="Georgia"/>
          <w:sz w:val="20"/>
          <w:szCs w:val="20"/>
        </w:rPr>
        <w:t xml:space="preserve">In case the fund has remained profitable for the part of the year with closing </w:t>
      </w:r>
      <w:r w:rsidR="00FC7DCD">
        <w:rPr>
          <w:rFonts w:ascii="Georgia" w:hAnsi="Georgia"/>
          <w:sz w:val="20"/>
          <w:szCs w:val="20"/>
        </w:rPr>
        <w:t xml:space="preserve">being </w:t>
      </w:r>
      <w:r>
        <w:rPr>
          <w:rFonts w:ascii="Georgia" w:hAnsi="Georgia"/>
          <w:sz w:val="20"/>
          <w:szCs w:val="20"/>
        </w:rPr>
        <w:t xml:space="preserve">NAV higher than the opening ex-NAV then the pay-out ratio will be amount per unit determined using </w:t>
      </w:r>
      <w:r w:rsidRPr="00142748">
        <w:rPr>
          <w:rFonts w:ascii="Georgia" w:hAnsi="Georgia"/>
          <w:sz w:val="20"/>
          <w:szCs w:val="20"/>
        </w:rPr>
        <w:t>opening ex-NAV</w:t>
      </w:r>
      <w:r w:rsidR="00FC7DCD">
        <w:rPr>
          <w:rFonts w:ascii="Georgia" w:hAnsi="Georgia"/>
          <w:sz w:val="20"/>
          <w:szCs w:val="20"/>
        </w:rPr>
        <w:t xml:space="preserve"> (as explained in paragraph 2 below)</w:t>
      </w:r>
      <w:r>
        <w:rPr>
          <w:rFonts w:ascii="Georgia" w:hAnsi="Georgia"/>
          <w:sz w:val="20"/>
          <w:szCs w:val="20"/>
        </w:rPr>
        <w:t>. However, if the mandatory distribution is not being met then the same will be done by distributing additional amount which will be arrived at by dividing the amount by which mandatory distribution is short with the closing number of units.</w:t>
      </w:r>
    </w:p>
    <w:p w:rsidR="002E1F01" w:rsidRDefault="002E1F01" w:rsidP="002E1F01">
      <w:pPr>
        <w:pStyle w:val="ListParagraph"/>
        <w:jc w:val="both"/>
        <w:rPr>
          <w:rFonts w:ascii="Georgia" w:hAnsi="Georgia"/>
          <w:sz w:val="20"/>
          <w:szCs w:val="20"/>
        </w:rPr>
      </w:pPr>
    </w:p>
    <w:p w:rsidR="002E1F01" w:rsidRDefault="002E1F01" w:rsidP="00142748">
      <w:pPr>
        <w:pStyle w:val="ListParagraph"/>
        <w:numPr>
          <w:ilvl w:val="0"/>
          <w:numId w:val="1"/>
        </w:numPr>
        <w:jc w:val="both"/>
        <w:rPr>
          <w:rFonts w:ascii="Georgia" w:hAnsi="Georgia"/>
          <w:sz w:val="20"/>
          <w:szCs w:val="20"/>
        </w:rPr>
      </w:pPr>
      <w:r>
        <w:rPr>
          <w:rFonts w:ascii="Georgia" w:hAnsi="Georgia"/>
          <w:sz w:val="20"/>
          <w:szCs w:val="20"/>
        </w:rPr>
        <w:t>In case the closing NAV is lower than the opening ex-NAV and the fund is in profit</w:t>
      </w:r>
      <w:r w:rsidR="00731F7B">
        <w:rPr>
          <w:rFonts w:ascii="Georgia" w:hAnsi="Georgia"/>
          <w:sz w:val="20"/>
          <w:szCs w:val="20"/>
        </w:rPr>
        <w:t xml:space="preserve"> then the pay-out ratio will be calculated by dividing the amount distributable as per the Income statement (after taking effect of income already paid on units redeemed) by the closing number of units. </w:t>
      </w:r>
      <w:r w:rsidR="008A7E7A">
        <w:rPr>
          <w:rFonts w:ascii="Georgia" w:hAnsi="Georgia"/>
          <w:sz w:val="20"/>
          <w:szCs w:val="20"/>
        </w:rPr>
        <w:t>In this case there will be no refund of element since the closing NAV is lower than the opening ex-NAV and generally there would be negative element of income balance in such situations.</w:t>
      </w:r>
    </w:p>
    <w:p w:rsidR="00905127" w:rsidRPr="00905127" w:rsidRDefault="00905127" w:rsidP="00905127">
      <w:pPr>
        <w:pStyle w:val="ListParagraph"/>
        <w:rPr>
          <w:rFonts w:ascii="Georgia" w:hAnsi="Georgia"/>
          <w:sz w:val="20"/>
          <w:szCs w:val="20"/>
        </w:rPr>
      </w:pPr>
    </w:p>
    <w:p w:rsidR="00F256DA" w:rsidRDefault="00F256DA" w:rsidP="00F256DA">
      <w:pPr>
        <w:jc w:val="both"/>
        <w:rPr>
          <w:rFonts w:ascii="Georgia" w:hAnsi="Georgia"/>
          <w:sz w:val="20"/>
          <w:szCs w:val="20"/>
        </w:rPr>
      </w:pPr>
      <w:r>
        <w:rPr>
          <w:rFonts w:ascii="Georgia" w:hAnsi="Georgia"/>
          <w:sz w:val="20"/>
          <w:szCs w:val="20"/>
        </w:rPr>
        <w:t>Per unit distribution will comprise of two things:</w:t>
      </w:r>
    </w:p>
    <w:p w:rsidR="00F256DA" w:rsidRDefault="00F256DA" w:rsidP="00F256DA">
      <w:pPr>
        <w:pStyle w:val="ListParagraph"/>
        <w:numPr>
          <w:ilvl w:val="0"/>
          <w:numId w:val="5"/>
        </w:numPr>
        <w:jc w:val="both"/>
        <w:rPr>
          <w:rFonts w:ascii="Georgia" w:hAnsi="Georgia"/>
          <w:sz w:val="20"/>
          <w:szCs w:val="20"/>
        </w:rPr>
      </w:pPr>
      <w:r>
        <w:rPr>
          <w:rFonts w:ascii="Georgia" w:hAnsi="Georgia"/>
          <w:sz w:val="20"/>
          <w:szCs w:val="20"/>
        </w:rPr>
        <w:t>Dividend; and</w:t>
      </w:r>
    </w:p>
    <w:p w:rsidR="001F7795" w:rsidRPr="001F7795" w:rsidRDefault="00F256DA" w:rsidP="001F7795">
      <w:pPr>
        <w:pStyle w:val="ListParagraph"/>
        <w:numPr>
          <w:ilvl w:val="0"/>
          <w:numId w:val="5"/>
        </w:numPr>
        <w:jc w:val="both"/>
        <w:rPr>
          <w:rFonts w:ascii="Georgia" w:hAnsi="Georgia"/>
          <w:sz w:val="20"/>
          <w:szCs w:val="20"/>
        </w:rPr>
      </w:pPr>
      <w:r>
        <w:rPr>
          <w:rFonts w:ascii="Georgia" w:hAnsi="Georgia"/>
          <w:sz w:val="20"/>
          <w:szCs w:val="20"/>
        </w:rPr>
        <w:t>Return of capital.</w:t>
      </w:r>
    </w:p>
    <w:p w:rsidR="001F7795" w:rsidRDefault="00F31DAC" w:rsidP="00E2035E">
      <w:pPr>
        <w:jc w:val="both"/>
        <w:rPr>
          <w:rFonts w:ascii="Georgia" w:hAnsi="Georgia"/>
          <w:sz w:val="20"/>
          <w:szCs w:val="20"/>
        </w:rPr>
      </w:pPr>
      <w:r>
        <w:rPr>
          <w:rFonts w:ascii="Georgia" w:hAnsi="Georgia"/>
          <w:sz w:val="20"/>
          <w:szCs w:val="20"/>
        </w:rPr>
        <w:t xml:space="preserve">The bifurcation of per unit distribution between dividend and return of capital </w:t>
      </w:r>
      <w:r w:rsidR="001F7795">
        <w:rPr>
          <w:rFonts w:ascii="Georgia" w:hAnsi="Georgia"/>
          <w:sz w:val="20"/>
          <w:szCs w:val="20"/>
        </w:rPr>
        <w:t xml:space="preserve">has been discussed </w:t>
      </w:r>
      <w:r w:rsidR="00FC7DCD">
        <w:rPr>
          <w:rFonts w:ascii="Georgia" w:hAnsi="Georgia"/>
          <w:sz w:val="20"/>
          <w:szCs w:val="20"/>
        </w:rPr>
        <w:t>below</w:t>
      </w:r>
      <w:r w:rsidR="001F7795">
        <w:rPr>
          <w:rFonts w:ascii="Georgia" w:hAnsi="Georgia"/>
          <w:sz w:val="20"/>
          <w:szCs w:val="20"/>
        </w:rPr>
        <w:t>:</w:t>
      </w:r>
    </w:p>
    <w:p w:rsidR="001D04E5" w:rsidRPr="00F31DAC" w:rsidRDefault="001D04E5" w:rsidP="001F7795">
      <w:pPr>
        <w:pStyle w:val="ListParagraph"/>
        <w:numPr>
          <w:ilvl w:val="0"/>
          <w:numId w:val="7"/>
        </w:numPr>
        <w:ind w:left="360"/>
        <w:jc w:val="both"/>
        <w:rPr>
          <w:rFonts w:ascii="Georgia" w:hAnsi="Georgia"/>
          <w:b/>
          <w:sz w:val="20"/>
          <w:szCs w:val="20"/>
        </w:rPr>
      </w:pPr>
      <w:r w:rsidRPr="00F31DAC">
        <w:rPr>
          <w:rFonts w:ascii="Georgia" w:hAnsi="Georgia"/>
          <w:b/>
          <w:sz w:val="20"/>
          <w:szCs w:val="20"/>
        </w:rPr>
        <w:t>DETERMINI</w:t>
      </w:r>
      <w:r w:rsidR="00A553A8" w:rsidRPr="00F31DAC">
        <w:rPr>
          <w:rFonts w:ascii="Georgia" w:hAnsi="Georgia"/>
          <w:b/>
          <w:sz w:val="20"/>
          <w:szCs w:val="20"/>
        </w:rPr>
        <w:t>N</w:t>
      </w:r>
      <w:r w:rsidRPr="00F31DAC">
        <w:rPr>
          <w:rFonts w:ascii="Georgia" w:hAnsi="Georgia"/>
          <w:b/>
          <w:sz w:val="20"/>
          <w:szCs w:val="20"/>
        </w:rPr>
        <w:t xml:space="preserve">G THE </w:t>
      </w:r>
      <w:r w:rsidR="00A553A8" w:rsidRPr="00F31DAC">
        <w:rPr>
          <w:rFonts w:ascii="Georgia" w:hAnsi="Georgia"/>
          <w:b/>
          <w:sz w:val="20"/>
          <w:szCs w:val="20"/>
        </w:rPr>
        <w:t xml:space="preserve">AMOUNT TO BE PAID AS DIVIDEND </w:t>
      </w:r>
      <w:r w:rsidR="00F31DAC">
        <w:rPr>
          <w:rFonts w:ascii="Georgia" w:hAnsi="Georgia"/>
          <w:b/>
          <w:sz w:val="20"/>
          <w:szCs w:val="20"/>
        </w:rPr>
        <w:t>AND REFUND OF CAPITAL PER UNIT</w:t>
      </w:r>
    </w:p>
    <w:p w:rsidR="00142748" w:rsidRDefault="00F256DA" w:rsidP="00142748">
      <w:pPr>
        <w:jc w:val="both"/>
        <w:rPr>
          <w:rFonts w:ascii="Georgia" w:hAnsi="Georgia"/>
          <w:sz w:val="20"/>
          <w:szCs w:val="20"/>
        </w:rPr>
      </w:pPr>
      <w:r>
        <w:rPr>
          <w:rFonts w:ascii="Georgia" w:hAnsi="Georgia"/>
          <w:sz w:val="20"/>
          <w:szCs w:val="20"/>
        </w:rPr>
        <w:t>It</w:t>
      </w:r>
      <w:r w:rsidR="00142748">
        <w:rPr>
          <w:rFonts w:ascii="Georgia" w:hAnsi="Georgia"/>
          <w:sz w:val="20"/>
          <w:szCs w:val="20"/>
        </w:rPr>
        <w:t xml:space="preserve"> needs to be kept in mind that </w:t>
      </w:r>
      <w:r>
        <w:rPr>
          <w:rFonts w:ascii="Georgia" w:hAnsi="Georgia"/>
          <w:sz w:val="20"/>
          <w:szCs w:val="20"/>
        </w:rPr>
        <w:t xml:space="preserve">the </w:t>
      </w:r>
      <w:r w:rsidR="00142748">
        <w:rPr>
          <w:rFonts w:ascii="Georgia" w:hAnsi="Georgia"/>
          <w:sz w:val="20"/>
          <w:szCs w:val="20"/>
        </w:rPr>
        <w:t xml:space="preserve">dividend distribution can only be made out of available profits. The available profit for the purpose of dividend distribution will be allocated </w:t>
      </w:r>
      <w:r w:rsidR="001D04E5">
        <w:rPr>
          <w:rFonts w:ascii="Georgia" w:hAnsi="Georgia"/>
          <w:sz w:val="20"/>
          <w:szCs w:val="20"/>
        </w:rPr>
        <w:t xml:space="preserve">proportionately </w:t>
      </w:r>
      <w:r w:rsidR="00142748">
        <w:rPr>
          <w:rFonts w:ascii="Georgia" w:hAnsi="Georgia"/>
          <w:sz w:val="20"/>
          <w:szCs w:val="20"/>
        </w:rPr>
        <w:t>between the eligible unit holders</w:t>
      </w:r>
      <w:r w:rsidR="00AF4DD4">
        <w:rPr>
          <w:rFonts w:ascii="Georgia" w:hAnsi="Georgia"/>
          <w:sz w:val="20"/>
          <w:szCs w:val="20"/>
        </w:rPr>
        <w:t xml:space="preserve"> (to whom profit will be allocated)</w:t>
      </w:r>
      <w:r w:rsidR="00142748">
        <w:rPr>
          <w:rFonts w:ascii="Georgia" w:hAnsi="Georgia"/>
          <w:sz w:val="20"/>
          <w:szCs w:val="20"/>
        </w:rPr>
        <w:t xml:space="preserve"> on the book closure date using the following basis: </w:t>
      </w:r>
    </w:p>
    <w:p w:rsidR="00142748" w:rsidRDefault="00142748" w:rsidP="00142748">
      <w:pPr>
        <w:pStyle w:val="ListParagraph"/>
        <w:numPr>
          <w:ilvl w:val="0"/>
          <w:numId w:val="2"/>
        </w:numPr>
        <w:jc w:val="both"/>
        <w:rPr>
          <w:rFonts w:ascii="Georgia" w:hAnsi="Georgia"/>
          <w:sz w:val="20"/>
          <w:szCs w:val="20"/>
        </w:rPr>
      </w:pPr>
      <w:r>
        <w:rPr>
          <w:rFonts w:ascii="Georgia" w:hAnsi="Georgia"/>
          <w:sz w:val="20"/>
          <w:szCs w:val="20"/>
        </w:rPr>
        <w:t>O</w:t>
      </w:r>
      <w:r w:rsidRPr="00142748">
        <w:rPr>
          <w:rFonts w:ascii="Georgia" w:hAnsi="Georgia"/>
          <w:sz w:val="20"/>
          <w:szCs w:val="20"/>
        </w:rPr>
        <w:t>pening ex-NAV will be used for unitholders who have remained part of the fund throughout the year (</w:t>
      </w:r>
      <w:proofErr w:type="spellStart"/>
      <w:r w:rsidRPr="00142748">
        <w:rPr>
          <w:rFonts w:ascii="Georgia" w:hAnsi="Georgia"/>
          <w:sz w:val="20"/>
          <w:szCs w:val="20"/>
        </w:rPr>
        <w:t>i.e</w:t>
      </w:r>
      <w:proofErr w:type="spellEnd"/>
      <w:r w:rsidRPr="00142748">
        <w:rPr>
          <w:rFonts w:ascii="Georgia" w:hAnsi="Georgia"/>
          <w:sz w:val="20"/>
          <w:szCs w:val="20"/>
        </w:rPr>
        <w:t xml:space="preserve"> entire period)</w:t>
      </w:r>
      <w:r>
        <w:rPr>
          <w:rFonts w:ascii="Georgia" w:hAnsi="Georgia"/>
          <w:sz w:val="20"/>
          <w:szCs w:val="20"/>
        </w:rPr>
        <w:t>;</w:t>
      </w:r>
      <w:r w:rsidRPr="00142748">
        <w:rPr>
          <w:rFonts w:ascii="Georgia" w:hAnsi="Georgia"/>
          <w:sz w:val="20"/>
          <w:szCs w:val="20"/>
        </w:rPr>
        <w:t xml:space="preserve"> and</w:t>
      </w:r>
    </w:p>
    <w:p w:rsidR="00142748" w:rsidRPr="001F7795" w:rsidRDefault="00142748" w:rsidP="001F7795">
      <w:pPr>
        <w:pStyle w:val="ListParagraph"/>
        <w:numPr>
          <w:ilvl w:val="0"/>
          <w:numId w:val="2"/>
        </w:numPr>
        <w:jc w:val="both"/>
        <w:rPr>
          <w:rFonts w:ascii="Georgia" w:hAnsi="Georgia"/>
          <w:sz w:val="20"/>
          <w:szCs w:val="20"/>
        </w:rPr>
      </w:pPr>
      <w:r>
        <w:rPr>
          <w:rFonts w:ascii="Georgia" w:hAnsi="Georgia"/>
          <w:sz w:val="20"/>
          <w:szCs w:val="20"/>
        </w:rPr>
        <w:t>Investment NAV of unitholders will be used where the unitholders have entered the fund above the opening ex-NAV during the year.</w:t>
      </w:r>
    </w:p>
    <w:p w:rsidR="001F7795" w:rsidRDefault="00FC7DCD" w:rsidP="00142748">
      <w:pPr>
        <w:jc w:val="both"/>
        <w:rPr>
          <w:rFonts w:ascii="Georgia" w:hAnsi="Georgia"/>
          <w:sz w:val="20"/>
          <w:szCs w:val="20"/>
        </w:rPr>
      </w:pPr>
      <w:r>
        <w:rPr>
          <w:rFonts w:ascii="Georgia" w:hAnsi="Georgia"/>
          <w:sz w:val="20"/>
          <w:szCs w:val="20"/>
        </w:rPr>
        <w:t>The amount determined for unitholders who have remained part of the fund for the entire period will determine the payout ratio. Accordingly, f</w:t>
      </w:r>
      <w:r w:rsidR="001F7795">
        <w:rPr>
          <w:rFonts w:ascii="Georgia" w:hAnsi="Georgia"/>
          <w:sz w:val="20"/>
          <w:szCs w:val="20"/>
        </w:rPr>
        <w:t xml:space="preserve">or unit holders who remained part of the fund for the entire period, the </w:t>
      </w:r>
      <w:r>
        <w:rPr>
          <w:rFonts w:ascii="Georgia" w:hAnsi="Georgia"/>
          <w:sz w:val="20"/>
          <w:szCs w:val="20"/>
        </w:rPr>
        <w:t xml:space="preserve">entire </w:t>
      </w:r>
      <w:r w:rsidR="001F7795">
        <w:rPr>
          <w:rFonts w:ascii="Georgia" w:hAnsi="Georgia"/>
          <w:sz w:val="20"/>
          <w:szCs w:val="20"/>
        </w:rPr>
        <w:t xml:space="preserve">distribution </w:t>
      </w:r>
      <w:r w:rsidR="00906477">
        <w:rPr>
          <w:rFonts w:ascii="Georgia" w:hAnsi="Georgia"/>
          <w:sz w:val="20"/>
          <w:szCs w:val="20"/>
        </w:rPr>
        <w:t>made</w:t>
      </w:r>
      <w:r w:rsidR="001F7795">
        <w:rPr>
          <w:rFonts w:ascii="Georgia" w:hAnsi="Georgia"/>
          <w:sz w:val="20"/>
          <w:szCs w:val="20"/>
        </w:rPr>
        <w:t xml:space="preserve"> w</w:t>
      </w:r>
      <w:r w:rsidR="00906477">
        <w:rPr>
          <w:rFonts w:ascii="Georgia" w:hAnsi="Georgia"/>
          <w:sz w:val="20"/>
          <w:szCs w:val="20"/>
        </w:rPr>
        <w:t>ill</w:t>
      </w:r>
      <w:r w:rsidR="001F7795">
        <w:rPr>
          <w:rFonts w:ascii="Georgia" w:hAnsi="Georgia"/>
          <w:sz w:val="20"/>
          <w:szCs w:val="20"/>
        </w:rPr>
        <w:t xml:space="preserve"> be counted towards </w:t>
      </w:r>
      <w:r>
        <w:rPr>
          <w:rFonts w:ascii="Georgia" w:hAnsi="Georgia"/>
          <w:sz w:val="20"/>
          <w:szCs w:val="20"/>
        </w:rPr>
        <w:t>“</w:t>
      </w:r>
      <w:r w:rsidR="001F7795">
        <w:rPr>
          <w:rFonts w:ascii="Georgia" w:hAnsi="Georgia"/>
          <w:sz w:val="20"/>
          <w:szCs w:val="20"/>
        </w:rPr>
        <w:t>dividend distribution</w:t>
      </w:r>
      <w:r>
        <w:rPr>
          <w:rFonts w:ascii="Georgia" w:hAnsi="Georgia"/>
          <w:sz w:val="20"/>
          <w:szCs w:val="20"/>
        </w:rPr>
        <w:t>”</w:t>
      </w:r>
      <w:r w:rsidR="001F7795">
        <w:rPr>
          <w:rFonts w:ascii="Georgia" w:hAnsi="Georgia"/>
          <w:sz w:val="20"/>
          <w:szCs w:val="20"/>
        </w:rPr>
        <w:t xml:space="preserve">. For investors who have </w:t>
      </w:r>
      <w:r>
        <w:rPr>
          <w:rFonts w:ascii="Georgia" w:hAnsi="Georgia"/>
          <w:sz w:val="20"/>
          <w:szCs w:val="20"/>
        </w:rPr>
        <w:t>joined the Fund during the year,</w:t>
      </w:r>
      <w:r w:rsidR="00906477">
        <w:rPr>
          <w:rFonts w:ascii="Georgia" w:hAnsi="Georgia"/>
          <w:sz w:val="20"/>
          <w:szCs w:val="20"/>
        </w:rPr>
        <w:t xml:space="preserve"> the proportionate profit arrived based on their </w:t>
      </w:r>
      <w:r w:rsidR="00906477">
        <w:rPr>
          <w:rFonts w:ascii="Georgia" w:hAnsi="Georgia"/>
          <w:sz w:val="20"/>
          <w:szCs w:val="20"/>
        </w:rPr>
        <w:lastRenderedPageBreak/>
        <w:t xml:space="preserve">respective Investment NAVs will be counted towards </w:t>
      </w:r>
      <w:r>
        <w:rPr>
          <w:rFonts w:ascii="Georgia" w:hAnsi="Georgia"/>
          <w:sz w:val="20"/>
          <w:szCs w:val="20"/>
        </w:rPr>
        <w:t>“</w:t>
      </w:r>
      <w:r w:rsidR="00906477">
        <w:rPr>
          <w:rFonts w:ascii="Georgia" w:hAnsi="Georgia"/>
          <w:sz w:val="20"/>
          <w:szCs w:val="20"/>
        </w:rPr>
        <w:t>dividend distribution</w:t>
      </w:r>
      <w:r>
        <w:rPr>
          <w:rFonts w:ascii="Georgia" w:hAnsi="Georgia"/>
          <w:sz w:val="20"/>
          <w:szCs w:val="20"/>
        </w:rPr>
        <w:t xml:space="preserve">” and the difference between </w:t>
      </w:r>
      <w:r w:rsidR="00906477">
        <w:rPr>
          <w:rFonts w:ascii="Georgia" w:hAnsi="Georgia"/>
          <w:sz w:val="20"/>
          <w:szCs w:val="20"/>
        </w:rPr>
        <w:t xml:space="preserve">per unit distribution arrived using (pay-out ratio) and the amount counted towards dividend distribution will be treated as </w:t>
      </w:r>
      <w:r>
        <w:rPr>
          <w:rFonts w:ascii="Georgia" w:hAnsi="Georgia"/>
          <w:sz w:val="20"/>
          <w:szCs w:val="20"/>
        </w:rPr>
        <w:t>“</w:t>
      </w:r>
      <w:r w:rsidR="00906477">
        <w:rPr>
          <w:rFonts w:ascii="Georgia" w:hAnsi="Georgia"/>
          <w:sz w:val="20"/>
          <w:szCs w:val="20"/>
        </w:rPr>
        <w:t>refund of capital</w:t>
      </w:r>
      <w:r>
        <w:rPr>
          <w:rFonts w:ascii="Georgia" w:hAnsi="Georgia"/>
          <w:sz w:val="20"/>
          <w:szCs w:val="20"/>
        </w:rPr>
        <w:t>”</w:t>
      </w:r>
      <w:r w:rsidR="00906477">
        <w:rPr>
          <w:rFonts w:ascii="Georgia" w:hAnsi="Georgia"/>
          <w:sz w:val="20"/>
          <w:szCs w:val="20"/>
        </w:rPr>
        <w:t>.</w:t>
      </w:r>
    </w:p>
    <w:p w:rsidR="00FC7DCD" w:rsidRDefault="00906477" w:rsidP="00142748">
      <w:pPr>
        <w:jc w:val="both"/>
        <w:rPr>
          <w:rFonts w:ascii="Georgia" w:hAnsi="Georgia"/>
          <w:sz w:val="20"/>
          <w:szCs w:val="20"/>
        </w:rPr>
      </w:pPr>
      <w:r>
        <w:rPr>
          <w:rFonts w:ascii="Georgia" w:hAnsi="Georgia"/>
          <w:sz w:val="20"/>
          <w:szCs w:val="20"/>
        </w:rPr>
        <w:t>It is important to note that</w:t>
      </w:r>
      <w:r w:rsidR="00F31DAC">
        <w:rPr>
          <w:rFonts w:ascii="Georgia" w:hAnsi="Georgia"/>
          <w:sz w:val="20"/>
          <w:szCs w:val="20"/>
        </w:rPr>
        <w:t xml:space="preserve"> t</w:t>
      </w:r>
      <w:r w:rsidR="00142748" w:rsidRPr="00F256DA">
        <w:rPr>
          <w:rFonts w:ascii="Georgia" w:hAnsi="Georgia"/>
          <w:sz w:val="20"/>
          <w:szCs w:val="20"/>
        </w:rPr>
        <w:t xml:space="preserve">he eligible investors for allocation of profit will only be those investors whose investment NAV or opening ex-NAV, as the case may be, is lower than the closing NAV (at which dividend distribution is considered). </w:t>
      </w:r>
    </w:p>
    <w:p w:rsidR="00A455F0" w:rsidRDefault="00FC7DCD" w:rsidP="00142748">
      <w:pPr>
        <w:jc w:val="both"/>
        <w:rPr>
          <w:rFonts w:ascii="Georgia" w:hAnsi="Georgia"/>
          <w:sz w:val="20"/>
          <w:szCs w:val="20"/>
        </w:rPr>
      </w:pPr>
      <w:r>
        <w:rPr>
          <w:rFonts w:ascii="Georgia" w:hAnsi="Georgia"/>
          <w:sz w:val="20"/>
          <w:szCs w:val="20"/>
        </w:rPr>
        <w:t>T</w:t>
      </w:r>
      <w:r w:rsidR="00A455F0">
        <w:rPr>
          <w:rFonts w:ascii="Georgia" w:hAnsi="Georgia"/>
          <w:sz w:val="20"/>
          <w:szCs w:val="20"/>
        </w:rPr>
        <w:t xml:space="preserve">he distribution per unit determined will be multiplied by the closing number of units in order to arrive at the total amount that is to be distributed (total distributable amount). The </w:t>
      </w:r>
      <w:r w:rsidR="00906477">
        <w:rPr>
          <w:rFonts w:ascii="Georgia" w:hAnsi="Georgia"/>
          <w:sz w:val="20"/>
          <w:szCs w:val="20"/>
        </w:rPr>
        <w:t>difference</w:t>
      </w:r>
      <w:r w:rsidR="00A455F0">
        <w:rPr>
          <w:rFonts w:ascii="Georgia" w:hAnsi="Georgia"/>
          <w:sz w:val="20"/>
          <w:szCs w:val="20"/>
        </w:rPr>
        <w:t xml:space="preserve"> between the total distributable amount and the </w:t>
      </w:r>
      <w:r w:rsidR="00000386">
        <w:rPr>
          <w:rFonts w:ascii="Georgia" w:hAnsi="Georgia"/>
          <w:sz w:val="20"/>
          <w:szCs w:val="20"/>
        </w:rPr>
        <w:t xml:space="preserve">amount to be distributed in the form of dividend </w:t>
      </w:r>
      <w:r>
        <w:rPr>
          <w:rFonts w:ascii="Georgia" w:hAnsi="Georgia"/>
          <w:sz w:val="20"/>
          <w:szCs w:val="20"/>
        </w:rPr>
        <w:t>(based on amountavailable</w:t>
      </w:r>
      <w:r w:rsidR="00906477">
        <w:rPr>
          <w:rFonts w:ascii="Georgia" w:hAnsi="Georgia"/>
          <w:sz w:val="20"/>
          <w:szCs w:val="20"/>
        </w:rPr>
        <w:t xml:space="preserve"> in Income Statement) </w:t>
      </w:r>
      <w:r w:rsidR="00000386">
        <w:rPr>
          <w:rFonts w:ascii="Georgia" w:hAnsi="Georgia"/>
          <w:sz w:val="20"/>
          <w:szCs w:val="20"/>
        </w:rPr>
        <w:t>will be utilized / paid out of element of income account.</w:t>
      </w:r>
    </w:p>
    <w:p w:rsidR="008A7E7A" w:rsidRDefault="008A7E7A" w:rsidP="00142748">
      <w:pPr>
        <w:jc w:val="both"/>
        <w:rPr>
          <w:rFonts w:ascii="Georgia" w:hAnsi="Georgia"/>
          <w:sz w:val="20"/>
          <w:szCs w:val="20"/>
        </w:rPr>
      </w:pPr>
      <w:r>
        <w:rPr>
          <w:rFonts w:ascii="Georgia" w:hAnsi="Georgia"/>
          <w:sz w:val="20"/>
          <w:szCs w:val="20"/>
        </w:rPr>
        <w:t>The illustrations explaining the above situation have been given at the end of the document.</w:t>
      </w:r>
    </w:p>
    <w:p w:rsidR="008C3E58" w:rsidRPr="008A7E7A" w:rsidRDefault="00E04560" w:rsidP="008A7E7A">
      <w:pPr>
        <w:pStyle w:val="ListParagraph"/>
        <w:numPr>
          <w:ilvl w:val="0"/>
          <w:numId w:val="7"/>
        </w:numPr>
        <w:ind w:left="360"/>
        <w:jc w:val="both"/>
        <w:rPr>
          <w:rFonts w:ascii="Georgia" w:hAnsi="Georgia"/>
          <w:b/>
          <w:sz w:val="20"/>
          <w:szCs w:val="20"/>
        </w:rPr>
      </w:pPr>
      <w:r w:rsidRPr="008A7E7A">
        <w:rPr>
          <w:rFonts w:ascii="Georgia" w:hAnsi="Georgia"/>
          <w:b/>
          <w:sz w:val="20"/>
          <w:szCs w:val="20"/>
        </w:rPr>
        <w:t>SPECIFIC SITUATIONS</w:t>
      </w:r>
      <w:r w:rsidR="001A5F8C" w:rsidRPr="008A7E7A">
        <w:rPr>
          <w:rFonts w:ascii="Georgia" w:hAnsi="Georgia"/>
          <w:b/>
          <w:sz w:val="20"/>
          <w:szCs w:val="20"/>
        </w:rPr>
        <w:t xml:space="preserve"> FOR DISTRIBUTIONS MADE OVER AND ABOVE THE MANDATORY DISTRIBUTIONS OR DISTRBUTIONS MADE WHERE NO MANDATORY DISTRIBUTION WAS REQUIRED</w:t>
      </w:r>
      <w:r w:rsidR="005D3F66" w:rsidRPr="008A7E7A">
        <w:rPr>
          <w:rFonts w:ascii="Georgia" w:hAnsi="Georgia"/>
          <w:b/>
          <w:sz w:val="20"/>
          <w:szCs w:val="20"/>
        </w:rPr>
        <w:t xml:space="preserve"> OR DELAYED DISTRIBUTIONS </w:t>
      </w:r>
    </w:p>
    <w:p w:rsidR="001A5F8C" w:rsidRDefault="001A5F8C" w:rsidP="00142748">
      <w:pPr>
        <w:jc w:val="both"/>
        <w:rPr>
          <w:rFonts w:ascii="Georgia" w:hAnsi="Georgia"/>
          <w:sz w:val="20"/>
          <w:szCs w:val="20"/>
        </w:rPr>
      </w:pPr>
      <w:r w:rsidRPr="001A5F8C">
        <w:rPr>
          <w:rFonts w:ascii="Georgia" w:hAnsi="Georgia"/>
          <w:sz w:val="20"/>
          <w:szCs w:val="20"/>
        </w:rPr>
        <w:t>T</w:t>
      </w:r>
      <w:r>
        <w:rPr>
          <w:rFonts w:ascii="Georgia" w:hAnsi="Georgia"/>
          <w:sz w:val="20"/>
          <w:szCs w:val="20"/>
        </w:rPr>
        <w:t xml:space="preserve">he general principle that needs to be kept in mind is that distributions out of profits will be treated as </w:t>
      </w:r>
      <w:r w:rsidRPr="001A5F8C">
        <w:rPr>
          <w:rFonts w:ascii="Georgia" w:hAnsi="Georgia"/>
          <w:b/>
          <w:sz w:val="20"/>
          <w:szCs w:val="20"/>
        </w:rPr>
        <w:t>“dividend”</w:t>
      </w:r>
      <w:r>
        <w:rPr>
          <w:rFonts w:ascii="Georgia" w:hAnsi="Georgia"/>
          <w:sz w:val="20"/>
          <w:szCs w:val="20"/>
        </w:rPr>
        <w:t xml:space="preserve"> and distributions out of element of income account will be treated as </w:t>
      </w:r>
      <w:r w:rsidRPr="001A5F8C">
        <w:rPr>
          <w:rFonts w:ascii="Georgia" w:hAnsi="Georgia"/>
          <w:b/>
          <w:sz w:val="20"/>
          <w:szCs w:val="20"/>
        </w:rPr>
        <w:t>“refund of capital”</w:t>
      </w:r>
      <w:r>
        <w:rPr>
          <w:rFonts w:ascii="Georgia" w:hAnsi="Georgia"/>
          <w:sz w:val="20"/>
          <w:szCs w:val="20"/>
        </w:rPr>
        <w:t>.</w:t>
      </w:r>
    </w:p>
    <w:p w:rsidR="001A5F8C" w:rsidRDefault="001A5F8C" w:rsidP="00142748">
      <w:pPr>
        <w:jc w:val="both"/>
        <w:rPr>
          <w:rFonts w:ascii="Georgia" w:hAnsi="Georgia"/>
          <w:b/>
          <w:sz w:val="20"/>
          <w:szCs w:val="20"/>
        </w:rPr>
      </w:pPr>
      <w:r w:rsidRPr="001A5F8C">
        <w:rPr>
          <w:rFonts w:ascii="Georgia" w:hAnsi="Georgia"/>
          <w:b/>
          <w:sz w:val="20"/>
          <w:szCs w:val="20"/>
        </w:rPr>
        <w:t>CASE 1</w:t>
      </w:r>
      <w:r>
        <w:rPr>
          <w:rFonts w:ascii="Georgia" w:hAnsi="Georgia"/>
          <w:b/>
          <w:sz w:val="20"/>
          <w:szCs w:val="20"/>
        </w:rPr>
        <w:t xml:space="preserve"> – NO INCOME IS AVAILABLE FOR DISTRIBUTION AS PER THE INCOME STATEMENT HOWEVER THE FUND INTENDS TO DISTRIBUTE FROM ELEMENT OF INCOME ACCOUNT</w:t>
      </w:r>
    </w:p>
    <w:p w:rsidR="00582C94" w:rsidRDefault="00582C94" w:rsidP="00142748">
      <w:pPr>
        <w:jc w:val="both"/>
        <w:rPr>
          <w:rFonts w:ascii="Georgia" w:hAnsi="Georgia"/>
          <w:sz w:val="20"/>
          <w:szCs w:val="20"/>
        </w:rPr>
      </w:pPr>
      <w:r>
        <w:rPr>
          <w:rFonts w:ascii="Georgia" w:hAnsi="Georgia"/>
          <w:sz w:val="20"/>
          <w:szCs w:val="20"/>
        </w:rPr>
        <w:t xml:space="preserve">As a general principle no distribution can be made </w:t>
      </w:r>
      <w:r w:rsidR="00DF6629">
        <w:rPr>
          <w:rFonts w:ascii="Georgia" w:hAnsi="Georgia"/>
          <w:sz w:val="20"/>
          <w:szCs w:val="20"/>
        </w:rPr>
        <w:t>out of</w:t>
      </w:r>
      <w:r>
        <w:rPr>
          <w:rFonts w:ascii="Georgia" w:hAnsi="Georgia"/>
          <w:sz w:val="20"/>
          <w:szCs w:val="20"/>
        </w:rPr>
        <w:t xml:space="preserve"> capital contribution. Distributions can only be made form available profits (either current year income or opening retained earnings). Element of income account can only be used for refund of capital (to maintain the pay-out ratio as discussed in the p</w:t>
      </w:r>
      <w:r w:rsidR="00DF6629">
        <w:rPr>
          <w:rFonts w:ascii="Georgia" w:hAnsi="Georgia"/>
          <w:sz w:val="20"/>
          <w:szCs w:val="20"/>
        </w:rPr>
        <w:t>aragraph 2</w:t>
      </w:r>
      <w:r>
        <w:rPr>
          <w:rFonts w:ascii="Georgia" w:hAnsi="Georgia"/>
          <w:sz w:val="20"/>
          <w:szCs w:val="20"/>
        </w:rPr>
        <w:t xml:space="preserve"> above) where the fund has earned profits during the year.   </w:t>
      </w:r>
    </w:p>
    <w:p w:rsidR="00DF6629" w:rsidRDefault="00DF6629" w:rsidP="00142748">
      <w:pPr>
        <w:jc w:val="both"/>
        <w:rPr>
          <w:rFonts w:ascii="Georgia" w:hAnsi="Georgia"/>
          <w:sz w:val="20"/>
          <w:szCs w:val="20"/>
        </w:rPr>
      </w:pPr>
      <w:r>
        <w:rPr>
          <w:rFonts w:ascii="Georgia" w:hAnsi="Georgia"/>
          <w:sz w:val="20"/>
          <w:szCs w:val="20"/>
        </w:rPr>
        <w:t xml:space="preserve">In this specific case there is no income during the year and any distributions made would result in distribution out of capital. Accordingly, no distribution can be made in this specific case.  </w:t>
      </w:r>
    </w:p>
    <w:p w:rsidR="001A5F8C" w:rsidRPr="001A5F8C" w:rsidRDefault="001A5F8C" w:rsidP="00142748">
      <w:pPr>
        <w:jc w:val="both"/>
        <w:rPr>
          <w:rFonts w:ascii="Georgia" w:hAnsi="Georgia"/>
          <w:sz w:val="20"/>
          <w:szCs w:val="20"/>
        </w:rPr>
      </w:pPr>
      <w:r w:rsidRPr="001A5F8C">
        <w:rPr>
          <w:rFonts w:ascii="Georgia" w:hAnsi="Georgia"/>
          <w:b/>
          <w:sz w:val="20"/>
          <w:szCs w:val="20"/>
        </w:rPr>
        <w:t>CASE 2 –</w:t>
      </w:r>
      <w:r>
        <w:rPr>
          <w:rFonts w:ascii="Georgia" w:hAnsi="Georgia"/>
          <w:b/>
          <w:sz w:val="20"/>
          <w:szCs w:val="20"/>
        </w:rPr>
        <w:t>NO INCOME IS AVAILABLE FOR DISTRIBUTION AS PER THE INCOME STATEMENT HOWEVER THE FUND INTENDS TO DISTRIBUTE FROM OPENING RESERVES</w:t>
      </w:r>
    </w:p>
    <w:p w:rsidR="005D3F66" w:rsidRDefault="001A5F8C" w:rsidP="00142748">
      <w:pPr>
        <w:jc w:val="both"/>
        <w:rPr>
          <w:rFonts w:ascii="Georgia" w:hAnsi="Georgia"/>
          <w:sz w:val="20"/>
          <w:szCs w:val="20"/>
        </w:rPr>
      </w:pPr>
      <w:r w:rsidRPr="001A5F8C">
        <w:rPr>
          <w:rFonts w:ascii="Georgia" w:hAnsi="Georgia"/>
          <w:sz w:val="20"/>
          <w:szCs w:val="20"/>
        </w:rPr>
        <w:t xml:space="preserve">The </w:t>
      </w:r>
      <w:r>
        <w:rPr>
          <w:rFonts w:ascii="Georgia" w:hAnsi="Georgia"/>
          <w:sz w:val="20"/>
          <w:szCs w:val="20"/>
        </w:rPr>
        <w:t xml:space="preserve">opening reserves available represent the opening undistributed income of prior years. It is important </w:t>
      </w:r>
      <w:bookmarkStart w:id="0" w:name="_GoBack"/>
      <w:bookmarkEnd w:id="0"/>
      <w:r>
        <w:rPr>
          <w:rFonts w:ascii="Georgia" w:hAnsi="Georgia"/>
          <w:sz w:val="20"/>
          <w:szCs w:val="20"/>
        </w:rPr>
        <w:t>to note that</w:t>
      </w:r>
      <w:r w:rsidR="00E04560">
        <w:rPr>
          <w:rFonts w:ascii="Georgia" w:hAnsi="Georgia"/>
          <w:sz w:val="20"/>
          <w:szCs w:val="20"/>
        </w:rPr>
        <w:t xml:space="preserve"> element was also</w:t>
      </w:r>
      <w:r>
        <w:rPr>
          <w:rFonts w:ascii="Georgia" w:hAnsi="Georgia"/>
          <w:sz w:val="20"/>
          <w:szCs w:val="20"/>
        </w:rPr>
        <w:t xml:space="preserve"> part of income statement in prior years and was considered </w:t>
      </w:r>
      <w:r w:rsidR="005D3F66">
        <w:rPr>
          <w:rFonts w:ascii="Georgia" w:hAnsi="Georgia"/>
          <w:sz w:val="20"/>
          <w:szCs w:val="20"/>
        </w:rPr>
        <w:t xml:space="preserve">for </w:t>
      </w:r>
      <w:r>
        <w:rPr>
          <w:rFonts w:ascii="Georgia" w:hAnsi="Georgia"/>
          <w:sz w:val="20"/>
          <w:szCs w:val="20"/>
        </w:rPr>
        <w:t>mandatory distribution</w:t>
      </w:r>
      <w:r w:rsidR="005D3F66">
        <w:rPr>
          <w:rFonts w:ascii="Georgia" w:hAnsi="Georgia"/>
          <w:sz w:val="20"/>
          <w:szCs w:val="20"/>
        </w:rPr>
        <w:t xml:space="preserve">. Therefore, any distribution made from available profits in respect of prior periods will be counted towards </w:t>
      </w:r>
      <w:r w:rsidR="000D268B">
        <w:rPr>
          <w:rFonts w:ascii="Georgia" w:hAnsi="Georgia"/>
          <w:sz w:val="20"/>
          <w:szCs w:val="20"/>
        </w:rPr>
        <w:t>“</w:t>
      </w:r>
      <w:r w:rsidR="005D3F66">
        <w:rPr>
          <w:rFonts w:ascii="Georgia" w:hAnsi="Georgia"/>
          <w:sz w:val="20"/>
          <w:szCs w:val="20"/>
        </w:rPr>
        <w:t>dividend distribution</w:t>
      </w:r>
      <w:r w:rsidR="000D268B">
        <w:rPr>
          <w:rFonts w:ascii="Georgia" w:hAnsi="Georgia"/>
          <w:sz w:val="20"/>
          <w:szCs w:val="20"/>
        </w:rPr>
        <w:t>”</w:t>
      </w:r>
      <w:r w:rsidR="005D3F66">
        <w:rPr>
          <w:rFonts w:ascii="Georgia" w:hAnsi="Georgia"/>
          <w:sz w:val="20"/>
          <w:szCs w:val="20"/>
        </w:rPr>
        <w:t>.</w:t>
      </w:r>
    </w:p>
    <w:p w:rsidR="005D3F66" w:rsidRDefault="005D3F66" w:rsidP="00142748">
      <w:pPr>
        <w:jc w:val="both"/>
        <w:rPr>
          <w:rFonts w:ascii="Georgia" w:hAnsi="Georgia"/>
          <w:b/>
          <w:sz w:val="20"/>
          <w:szCs w:val="20"/>
        </w:rPr>
      </w:pPr>
      <w:r w:rsidRPr="005D3F66">
        <w:rPr>
          <w:rFonts w:ascii="Georgia" w:hAnsi="Georgia"/>
          <w:b/>
          <w:sz w:val="20"/>
          <w:szCs w:val="20"/>
        </w:rPr>
        <w:t>CASE 3</w:t>
      </w:r>
      <w:r>
        <w:rPr>
          <w:rFonts w:ascii="Georgia" w:hAnsi="Georgia"/>
          <w:b/>
          <w:sz w:val="20"/>
          <w:szCs w:val="20"/>
        </w:rPr>
        <w:t xml:space="preserve"> – THE FUND INTENDS TO DISTRIBUTE FROM THE AMOUNT AVAILABLE UNDER THE ELEMENT OF INCOME ACCOUNT REPRESENTING PORTION OF ELEMENT RECEIVED IN RESPECT OF SURPLUS ON AVAILABLE FOR SALE SECURITIES</w:t>
      </w:r>
    </w:p>
    <w:p w:rsidR="005F3D3F" w:rsidRDefault="00A64C74" w:rsidP="00142748">
      <w:pPr>
        <w:jc w:val="both"/>
        <w:rPr>
          <w:rFonts w:ascii="Georgia" w:hAnsi="Georgia"/>
          <w:sz w:val="20"/>
          <w:szCs w:val="20"/>
        </w:rPr>
      </w:pPr>
      <w:r>
        <w:rPr>
          <w:rFonts w:ascii="Georgia" w:hAnsi="Georgia"/>
          <w:sz w:val="20"/>
          <w:szCs w:val="20"/>
        </w:rPr>
        <w:t>Since e</w:t>
      </w:r>
      <w:r w:rsidR="005F3D3F">
        <w:rPr>
          <w:rFonts w:ascii="Georgia" w:hAnsi="Georgia"/>
          <w:sz w:val="20"/>
          <w:szCs w:val="20"/>
        </w:rPr>
        <w:t xml:space="preserve">lement of income is a capital contribution </w:t>
      </w:r>
      <w:r w:rsidR="00DF6629">
        <w:rPr>
          <w:rFonts w:ascii="Georgia" w:hAnsi="Georgia"/>
          <w:sz w:val="20"/>
          <w:szCs w:val="20"/>
        </w:rPr>
        <w:t>(as mentioned in case 1 above),</w:t>
      </w:r>
      <w:r>
        <w:rPr>
          <w:rFonts w:ascii="Georgia" w:hAnsi="Georgia"/>
          <w:sz w:val="20"/>
          <w:szCs w:val="20"/>
        </w:rPr>
        <w:t xml:space="preserve"> no distribution </w:t>
      </w:r>
      <w:r w:rsidR="005F3D3F">
        <w:rPr>
          <w:rFonts w:ascii="Georgia" w:hAnsi="Georgia"/>
          <w:sz w:val="20"/>
          <w:szCs w:val="20"/>
        </w:rPr>
        <w:t xml:space="preserve">can </w:t>
      </w:r>
      <w:r>
        <w:rPr>
          <w:rFonts w:ascii="Georgia" w:hAnsi="Georgia"/>
          <w:sz w:val="20"/>
          <w:szCs w:val="20"/>
        </w:rPr>
        <w:t>be made f</w:t>
      </w:r>
      <w:r w:rsidR="005F3D3F">
        <w:rPr>
          <w:rFonts w:ascii="Georgia" w:hAnsi="Georgia"/>
          <w:sz w:val="20"/>
          <w:szCs w:val="20"/>
        </w:rPr>
        <w:t>r</w:t>
      </w:r>
      <w:r>
        <w:rPr>
          <w:rFonts w:ascii="Georgia" w:hAnsi="Georgia"/>
          <w:sz w:val="20"/>
          <w:szCs w:val="20"/>
        </w:rPr>
        <w:t>o</w:t>
      </w:r>
      <w:r w:rsidR="005F3D3F">
        <w:rPr>
          <w:rFonts w:ascii="Georgia" w:hAnsi="Georgia"/>
          <w:sz w:val="20"/>
          <w:szCs w:val="20"/>
        </w:rPr>
        <w:t xml:space="preserve">m </w:t>
      </w:r>
      <w:r>
        <w:rPr>
          <w:rFonts w:ascii="Georgia" w:hAnsi="Georgia"/>
          <w:sz w:val="20"/>
          <w:szCs w:val="20"/>
        </w:rPr>
        <w:t>element representing the portion of surplus on available for sale investments</w:t>
      </w:r>
      <w:r w:rsidR="00DF6629">
        <w:rPr>
          <w:rFonts w:ascii="Georgia" w:hAnsi="Georgia"/>
          <w:sz w:val="20"/>
          <w:szCs w:val="20"/>
        </w:rPr>
        <w:t xml:space="preserve"> as well</w:t>
      </w:r>
      <w:r w:rsidR="005F3D3F">
        <w:rPr>
          <w:rFonts w:ascii="Georgia" w:hAnsi="Georgia"/>
          <w:sz w:val="20"/>
          <w:szCs w:val="20"/>
        </w:rPr>
        <w:t>.</w:t>
      </w:r>
    </w:p>
    <w:p w:rsidR="00DF6629" w:rsidRDefault="00DF6629" w:rsidP="00DF6629">
      <w:pPr>
        <w:jc w:val="both"/>
        <w:rPr>
          <w:rFonts w:ascii="Georgia" w:hAnsi="Georgia"/>
          <w:b/>
          <w:sz w:val="20"/>
          <w:szCs w:val="20"/>
        </w:rPr>
      </w:pPr>
      <w:r w:rsidRPr="005D3F66">
        <w:rPr>
          <w:rFonts w:ascii="Georgia" w:hAnsi="Georgia"/>
          <w:b/>
          <w:sz w:val="20"/>
          <w:szCs w:val="20"/>
        </w:rPr>
        <w:t xml:space="preserve">CASE </w:t>
      </w:r>
      <w:r>
        <w:rPr>
          <w:rFonts w:ascii="Georgia" w:hAnsi="Georgia"/>
          <w:b/>
          <w:sz w:val="20"/>
          <w:szCs w:val="20"/>
        </w:rPr>
        <w:t>4 – THE FUND INTENDS TO DISTRIBUTE FROM THE AMOUNT REPRESENTING SURPLUS ON AVAILABLE FOR SALE SECURITIES</w:t>
      </w:r>
    </w:p>
    <w:p w:rsidR="00442902" w:rsidRDefault="00DF6629" w:rsidP="00DF6629">
      <w:pPr>
        <w:jc w:val="both"/>
        <w:rPr>
          <w:rFonts w:ascii="Georgia" w:hAnsi="Georgia"/>
          <w:sz w:val="20"/>
          <w:szCs w:val="20"/>
        </w:rPr>
      </w:pPr>
      <w:r>
        <w:rPr>
          <w:rFonts w:ascii="Georgia" w:hAnsi="Georgia"/>
          <w:sz w:val="20"/>
          <w:szCs w:val="20"/>
        </w:rPr>
        <w:lastRenderedPageBreak/>
        <w:t xml:space="preserve">No distribution </w:t>
      </w:r>
      <w:r w:rsidR="00CF0C3E">
        <w:rPr>
          <w:rFonts w:ascii="Georgia" w:hAnsi="Georgia"/>
          <w:sz w:val="20"/>
          <w:szCs w:val="20"/>
        </w:rPr>
        <w:t>should</w:t>
      </w:r>
      <w:r>
        <w:rPr>
          <w:rFonts w:ascii="Georgia" w:hAnsi="Georgia"/>
          <w:sz w:val="20"/>
          <w:szCs w:val="20"/>
        </w:rPr>
        <w:t xml:space="preserve"> be made from the balance of unrealized surplus on available for sale investments</w:t>
      </w:r>
      <w:r w:rsidR="00442902">
        <w:rPr>
          <w:rFonts w:ascii="Georgia" w:hAnsi="Georgia"/>
          <w:sz w:val="20"/>
          <w:szCs w:val="20"/>
        </w:rPr>
        <w:t xml:space="preserve"> since it has not been routed through the Income Statement at this stage. The cumulative unrealized surplus / deficit on available for sale securities previously recognized in “Other Comprehensive Income” is derecognized at the time of disposal and is recognized in the Income statement as </w:t>
      </w:r>
      <w:r w:rsidR="00C1380B">
        <w:rPr>
          <w:rFonts w:ascii="Georgia" w:hAnsi="Georgia"/>
          <w:sz w:val="20"/>
          <w:szCs w:val="20"/>
        </w:rPr>
        <w:t>“</w:t>
      </w:r>
      <w:r w:rsidR="00442902">
        <w:rPr>
          <w:rFonts w:ascii="Georgia" w:hAnsi="Georgia"/>
          <w:sz w:val="20"/>
          <w:szCs w:val="20"/>
        </w:rPr>
        <w:t>capital gain / loss</w:t>
      </w:r>
      <w:r w:rsidR="00C1380B">
        <w:rPr>
          <w:rFonts w:ascii="Georgia" w:hAnsi="Georgia"/>
          <w:sz w:val="20"/>
          <w:szCs w:val="20"/>
        </w:rPr>
        <w:t>”</w:t>
      </w:r>
      <w:r w:rsidR="00442902">
        <w:rPr>
          <w:rFonts w:ascii="Georgia" w:hAnsi="Georgia"/>
          <w:sz w:val="20"/>
          <w:szCs w:val="20"/>
        </w:rPr>
        <w:t xml:space="preserve"> as the case may be.  </w:t>
      </w:r>
    </w:p>
    <w:p w:rsidR="00DF6629" w:rsidRDefault="00442902" w:rsidP="00DF6629">
      <w:pPr>
        <w:jc w:val="both"/>
        <w:rPr>
          <w:rFonts w:ascii="Georgia" w:hAnsi="Georgia"/>
          <w:b/>
          <w:sz w:val="20"/>
          <w:szCs w:val="20"/>
        </w:rPr>
      </w:pPr>
      <w:r>
        <w:rPr>
          <w:rFonts w:ascii="Georgia" w:hAnsi="Georgia"/>
          <w:sz w:val="20"/>
          <w:szCs w:val="20"/>
        </w:rPr>
        <w:t xml:space="preserve">If distribution is made from </w:t>
      </w:r>
      <w:r w:rsidR="00015BC9">
        <w:rPr>
          <w:rFonts w:ascii="Georgia" w:hAnsi="Georgia"/>
          <w:sz w:val="20"/>
          <w:szCs w:val="20"/>
        </w:rPr>
        <w:t>unrealized surplus on a</w:t>
      </w:r>
      <w:r w:rsidR="00C1380B">
        <w:rPr>
          <w:rFonts w:ascii="Georgia" w:hAnsi="Georgia"/>
          <w:sz w:val="20"/>
          <w:szCs w:val="20"/>
        </w:rPr>
        <w:t>vailable for sale securities the</w:t>
      </w:r>
      <w:r w:rsidR="00015BC9">
        <w:rPr>
          <w:rFonts w:ascii="Georgia" w:hAnsi="Georgia"/>
          <w:sz w:val="20"/>
          <w:szCs w:val="20"/>
        </w:rPr>
        <w:t xml:space="preserve">n there is a risk that the same amount would once again be available for distribution when it is routed through Income Statement at the time of disposal of a security. Although realized capital gains are excluded from mandatory distribution however, the fund has the liberty to distribute the amount earned from capital gains in the current year </w:t>
      </w:r>
      <w:r w:rsidR="00C1380B">
        <w:rPr>
          <w:rFonts w:ascii="Georgia" w:hAnsi="Georgia"/>
          <w:sz w:val="20"/>
          <w:szCs w:val="20"/>
        </w:rPr>
        <w:t xml:space="preserve">income </w:t>
      </w:r>
      <w:r w:rsidR="00015BC9">
        <w:rPr>
          <w:rFonts w:ascii="Georgia" w:hAnsi="Georgia"/>
          <w:sz w:val="20"/>
          <w:szCs w:val="20"/>
        </w:rPr>
        <w:t xml:space="preserve">and in future in the form of opening undistributed profits. </w:t>
      </w:r>
    </w:p>
    <w:p w:rsidR="00DF6629" w:rsidRDefault="00DF6629" w:rsidP="00142748">
      <w:pPr>
        <w:jc w:val="both"/>
        <w:rPr>
          <w:rFonts w:ascii="Georgia" w:hAnsi="Georgia"/>
          <w:sz w:val="20"/>
          <w:szCs w:val="20"/>
        </w:rPr>
      </w:pPr>
    </w:p>
    <w:p w:rsidR="000D268B" w:rsidRDefault="00DF6629" w:rsidP="00142748">
      <w:pPr>
        <w:jc w:val="both"/>
        <w:rPr>
          <w:rFonts w:ascii="Georgia" w:hAnsi="Georgia"/>
          <w:b/>
          <w:sz w:val="20"/>
          <w:szCs w:val="20"/>
        </w:rPr>
      </w:pPr>
      <w:r>
        <w:rPr>
          <w:rFonts w:ascii="Georgia" w:hAnsi="Georgia"/>
          <w:b/>
          <w:sz w:val="20"/>
          <w:szCs w:val="20"/>
        </w:rPr>
        <w:t>CASE 5</w:t>
      </w:r>
      <w:r w:rsidR="000D268B" w:rsidRPr="000D268B">
        <w:rPr>
          <w:rFonts w:ascii="Georgia" w:hAnsi="Georgia"/>
          <w:b/>
          <w:sz w:val="20"/>
          <w:szCs w:val="20"/>
        </w:rPr>
        <w:t xml:space="preserve"> – MANDATORY DISTRIBUTION FOR T</w:t>
      </w:r>
      <w:r w:rsidR="00E04560">
        <w:rPr>
          <w:rFonts w:ascii="Georgia" w:hAnsi="Georgia"/>
          <w:b/>
          <w:sz w:val="20"/>
          <w:szCs w:val="20"/>
        </w:rPr>
        <w:t>HE YEAR MADE SUBSEQUENT TO YEAR</w:t>
      </w:r>
      <w:r w:rsidR="000D268B" w:rsidRPr="000D268B">
        <w:rPr>
          <w:rFonts w:ascii="Georgia" w:hAnsi="Georgia"/>
          <w:b/>
          <w:sz w:val="20"/>
          <w:szCs w:val="20"/>
        </w:rPr>
        <w:t>END WHERE THERE HAVE BEEN MOVEMENT IN UNITHOLDERS</w:t>
      </w:r>
    </w:p>
    <w:p w:rsidR="004D18BC" w:rsidRDefault="000D268B" w:rsidP="00142748">
      <w:pPr>
        <w:jc w:val="both"/>
        <w:rPr>
          <w:rFonts w:ascii="Georgia" w:hAnsi="Georgia"/>
          <w:sz w:val="20"/>
          <w:szCs w:val="20"/>
        </w:rPr>
      </w:pPr>
      <w:r>
        <w:rPr>
          <w:rFonts w:ascii="Georgia" w:hAnsi="Georgia"/>
          <w:sz w:val="20"/>
          <w:szCs w:val="20"/>
        </w:rPr>
        <w:t xml:space="preserve">The available income as per the “Income statement” is being used to determine the amount of dividend distribution and is proportionately being allocated between the unitholders based on the opening ex-NAV (for unitholders who were part of the fund for the entire period) and investment NAV (where unitholders have become part of the fund during the year), provided the closing NAV is higher than the investment NAV. </w:t>
      </w:r>
      <w:r w:rsidRPr="00E04560">
        <w:rPr>
          <w:rFonts w:ascii="Georgia" w:hAnsi="Georgia"/>
          <w:b/>
          <w:i/>
          <w:sz w:val="20"/>
          <w:szCs w:val="20"/>
          <w:u w:val="single"/>
        </w:rPr>
        <w:t>Since the above allocation is being done on a unitholder wise basis therefore, the distribution should be made within a year in order to properly cater the distribution requirement.</w:t>
      </w:r>
    </w:p>
    <w:p w:rsidR="000D268B" w:rsidRPr="000D268B" w:rsidRDefault="000D268B" w:rsidP="00142748">
      <w:pPr>
        <w:jc w:val="both"/>
        <w:rPr>
          <w:rFonts w:ascii="Georgia" w:hAnsi="Georgia"/>
          <w:sz w:val="20"/>
          <w:szCs w:val="20"/>
        </w:rPr>
      </w:pPr>
      <w:r>
        <w:rPr>
          <w:rFonts w:ascii="Georgia" w:hAnsi="Georgia"/>
          <w:sz w:val="20"/>
          <w:szCs w:val="20"/>
        </w:rPr>
        <w:t xml:space="preserve">In case the distribution is made subsequent to the yearend then it would not be possible to perform calculation on a unitholder wise since some unitholders might have left after the yearend and in place of those some new unitholders might have join the fund whose investment NAV would be cum-profit NAV and would be surely different from </w:t>
      </w:r>
      <w:r w:rsidR="00E04560">
        <w:rPr>
          <w:rFonts w:ascii="Georgia" w:hAnsi="Georgia"/>
          <w:sz w:val="20"/>
          <w:szCs w:val="20"/>
        </w:rPr>
        <w:t>those of</w:t>
      </w:r>
      <w:r>
        <w:rPr>
          <w:rFonts w:ascii="Georgia" w:hAnsi="Georgia"/>
          <w:sz w:val="20"/>
          <w:szCs w:val="20"/>
        </w:rPr>
        <w:t>outgoing unitholders</w:t>
      </w:r>
      <w:r w:rsidR="004D18BC">
        <w:rPr>
          <w:rFonts w:ascii="Georgia" w:hAnsi="Georgia"/>
          <w:sz w:val="20"/>
          <w:szCs w:val="20"/>
        </w:rPr>
        <w:t xml:space="preserve"> NAVs</w:t>
      </w:r>
      <w:r>
        <w:rPr>
          <w:rFonts w:ascii="Georgia" w:hAnsi="Georgia"/>
          <w:sz w:val="20"/>
          <w:szCs w:val="20"/>
        </w:rPr>
        <w:t>.</w:t>
      </w:r>
      <w:r w:rsidR="004D18BC">
        <w:rPr>
          <w:rFonts w:ascii="Georgia" w:hAnsi="Georgia"/>
          <w:sz w:val="20"/>
          <w:szCs w:val="20"/>
        </w:rPr>
        <w:t xml:space="preserve"> In case such a situation has occurred than the AMC should conduct an exercise on the book closure date as to how many unitholders are still with the Fund (on the book closure date) who would have been eligible for distribution last year. The available income (after adjusting income already paid on units redeemed) should be proportionately allocated between the left over unitholders using the basis of opening ex-NAV and investment NAV (as discussed in situation where distribution has been made within a year) for determining the amount of  per unit distribution, dividend and refund of capital. For unit holders who have joined subsequent to the yearend, the entire distribution will be refund of capital.     </w:t>
      </w:r>
    </w:p>
    <w:p w:rsidR="001A5F8C" w:rsidRDefault="001A5F8C"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Pr="005D3F66" w:rsidRDefault="002C0D99" w:rsidP="00142748">
      <w:pPr>
        <w:jc w:val="both"/>
        <w:rPr>
          <w:rFonts w:ascii="Georgia" w:hAnsi="Georgia"/>
          <w:b/>
          <w:sz w:val="20"/>
          <w:szCs w:val="20"/>
        </w:rPr>
      </w:pPr>
    </w:p>
    <w:p w:rsidR="001A5F8C" w:rsidRDefault="004D18BC" w:rsidP="00142748">
      <w:pPr>
        <w:jc w:val="both"/>
        <w:rPr>
          <w:rFonts w:ascii="Georgia" w:hAnsi="Georgia"/>
          <w:b/>
          <w:sz w:val="20"/>
          <w:szCs w:val="20"/>
        </w:rPr>
      </w:pPr>
      <w:r>
        <w:rPr>
          <w:rFonts w:ascii="Georgia" w:hAnsi="Georgia"/>
          <w:b/>
          <w:sz w:val="20"/>
          <w:szCs w:val="20"/>
        </w:rPr>
        <w:t>Illustrations:</w:t>
      </w:r>
    </w:p>
    <w:p w:rsidR="00981F94" w:rsidRDefault="00981F94" w:rsidP="00142748">
      <w:pPr>
        <w:jc w:val="both"/>
        <w:rPr>
          <w:rFonts w:ascii="Georgia" w:hAnsi="Georgia"/>
          <w:b/>
          <w:sz w:val="20"/>
          <w:szCs w:val="20"/>
        </w:rPr>
      </w:pPr>
      <w:r w:rsidRPr="00981F94">
        <w:rPr>
          <w:noProof/>
          <w:lang w:val="en-GB" w:eastAsia="en-GB"/>
        </w:rPr>
        <w:drawing>
          <wp:inline distT="0" distB="0" distL="0" distR="0">
            <wp:extent cx="59436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76450"/>
                    </a:xfrm>
                    <a:prstGeom prst="rect">
                      <a:avLst/>
                    </a:prstGeom>
                  </pic:spPr>
                </pic:pic>
              </a:graphicData>
            </a:graphic>
          </wp:inline>
        </w:drawing>
      </w:r>
    </w:p>
    <w:p w:rsidR="00981F94" w:rsidRDefault="00981F94" w:rsidP="00142748">
      <w:pPr>
        <w:jc w:val="both"/>
        <w:rPr>
          <w:rFonts w:ascii="Georgia" w:hAnsi="Georgia"/>
          <w:b/>
          <w:sz w:val="20"/>
          <w:szCs w:val="20"/>
        </w:rPr>
      </w:pPr>
    </w:p>
    <w:p w:rsidR="00FC7DCD" w:rsidRDefault="00981F94" w:rsidP="00142748">
      <w:pPr>
        <w:jc w:val="both"/>
        <w:rPr>
          <w:rFonts w:ascii="Georgia" w:hAnsi="Georgia"/>
          <w:b/>
          <w:sz w:val="20"/>
          <w:szCs w:val="20"/>
        </w:rPr>
      </w:pPr>
      <w:r w:rsidRPr="00981F94">
        <w:rPr>
          <w:noProof/>
          <w:lang w:val="en-GB" w:eastAsia="en-GB"/>
        </w:rPr>
        <w:drawing>
          <wp:inline distT="0" distB="0" distL="0" distR="0">
            <wp:extent cx="5943600" cy="29000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900054"/>
                    </a:xfrm>
                    <a:prstGeom prst="rect">
                      <a:avLst/>
                    </a:prstGeom>
                    <a:noFill/>
                    <a:ln>
                      <a:noFill/>
                    </a:ln>
                  </pic:spPr>
                </pic:pic>
              </a:graphicData>
            </a:graphic>
          </wp:inline>
        </w:drawing>
      </w:r>
    </w:p>
    <w:p w:rsidR="00FC7DCD" w:rsidRDefault="00FC7DCD"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2C0D99" w:rsidRDefault="002C0D99" w:rsidP="00142748">
      <w:pPr>
        <w:jc w:val="both"/>
        <w:rPr>
          <w:rFonts w:ascii="Georgia" w:hAnsi="Georgia"/>
          <w:b/>
          <w:sz w:val="20"/>
          <w:szCs w:val="20"/>
        </w:rPr>
      </w:pPr>
    </w:p>
    <w:p w:rsidR="001A5F8C" w:rsidRDefault="00981F94" w:rsidP="00142748">
      <w:pPr>
        <w:jc w:val="both"/>
        <w:rPr>
          <w:rFonts w:ascii="Georgia" w:hAnsi="Georgia"/>
          <w:b/>
          <w:sz w:val="20"/>
          <w:szCs w:val="20"/>
        </w:rPr>
      </w:pPr>
      <w:r w:rsidRPr="00981F94">
        <w:rPr>
          <w:noProof/>
          <w:lang w:val="en-GB" w:eastAsia="en-GB"/>
        </w:rPr>
        <w:drawing>
          <wp:inline distT="0" distB="0" distL="0" distR="0">
            <wp:extent cx="5943600" cy="1956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1956026"/>
                    </a:xfrm>
                    <a:prstGeom prst="rect">
                      <a:avLst/>
                    </a:prstGeom>
                    <a:noFill/>
                    <a:ln>
                      <a:noFill/>
                    </a:ln>
                  </pic:spPr>
                </pic:pic>
              </a:graphicData>
            </a:graphic>
          </wp:inline>
        </w:drawing>
      </w:r>
    </w:p>
    <w:p w:rsidR="00981F94" w:rsidRPr="001A5F8C" w:rsidRDefault="00981F94" w:rsidP="00142748">
      <w:pPr>
        <w:jc w:val="both"/>
        <w:rPr>
          <w:rFonts w:ascii="Georgia" w:hAnsi="Georgia"/>
          <w:b/>
          <w:sz w:val="20"/>
          <w:szCs w:val="20"/>
        </w:rPr>
      </w:pPr>
      <w:r w:rsidRPr="00981F94">
        <w:rPr>
          <w:noProof/>
          <w:lang w:val="en-GB" w:eastAsia="en-GB"/>
        </w:rPr>
        <w:drawing>
          <wp:inline distT="0" distB="0" distL="0" distR="0">
            <wp:extent cx="6192858" cy="4548249"/>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01040" cy="4554259"/>
                    </a:xfrm>
                    <a:prstGeom prst="rect">
                      <a:avLst/>
                    </a:prstGeom>
                    <a:noFill/>
                    <a:ln>
                      <a:noFill/>
                    </a:ln>
                  </pic:spPr>
                </pic:pic>
              </a:graphicData>
            </a:graphic>
          </wp:inline>
        </w:drawing>
      </w:r>
    </w:p>
    <w:p w:rsidR="008C3E58" w:rsidRDefault="008C3E58" w:rsidP="00142748">
      <w:pPr>
        <w:jc w:val="both"/>
        <w:rPr>
          <w:rFonts w:ascii="Georgia" w:hAnsi="Georgia"/>
          <w:sz w:val="20"/>
          <w:szCs w:val="20"/>
        </w:rPr>
      </w:pPr>
    </w:p>
    <w:p w:rsidR="00142748" w:rsidRPr="00815BE4" w:rsidRDefault="00142748">
      <w:pPr>
        <w:rPr>
          <w:rFonts w:ascii="Georgia" w:hAnsi="Georgia"/>
          <w:sz w:val="20"/>
          <w:szCs w:val="20"/>
        </w:rPr>
      </w:pPr>
    </w:p>
    <w:sectPr w:rsidR="00142748" w:rsidRPr="00815BE4" w:rsidSect="00172F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0E1"/>
    <w:multiLevelType w:val="hybridMultilevel"/>
    <w:tmpl w:val="847E7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83D6F"/>
    <w:multiLevelType w:val="hybridMultilevel"/>
    <w:tmpl w:val="555E5F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6EE7"/>
    <w:multiLevelType w:val="hybridMultilevel"/>
    <w:tmpl w:val="1780D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77EA4"/>
    <w:multiLevelType w:val="hybridMultilevel"/>
    <w:tmpl w:val="555E5F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45C9C"/>
    <w:multiLevelType w:val="hybridMultilevel"/>
    <w:tmpl w:val="906AB326"/>
    <w:lvl w:ilvl="0" w:tplc="706C50A8">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32CDD"/>
    <w:multiLevelType w:val="hybridMultilevel"/>
    <w:tmpl w:val="D8C6A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45414"/>
    <w:multiLevelType w:val="hybridMultilevel"/>
    <w:tmpl w:val="7CE6F85E"/>
    <w:lvl w:ilvl="0" w:tplc="3BD02BA4">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6A4564"/>
    <w:multiLevelType w:val="hybridMultilevel"/>
    <w:tmpl w:val="92124162"/>
    <w:lvl w:ilvl="0" w:tplc="5DAE3C30">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7"/>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A9332D"/>
    <w:rsid w:val="00000386"/>
    <w:rsid w:val="00015BC9"/>
    <w:rsid w:val="000D268B"/>
    <w:rsid w:val="00142748"/>
    <w:rsid w:val="00172F42"/>
    <w:rsid w:val="001A5F8C"/>
    <w:rsid w:val="001D04E5"/>
    <w:rsid w:val="001F7795"/>
    <w:rsid w:val="002C0D99"/>
    <w:rsid w:val="002E1F01"/>
    <w:rsid w:val="002E6D05"/>
    <w:rsid w:val="003A2589"/>
    <w:rsid w:val="003B6FCC"/>
    <w:rsid w:val="003C5ECF"/>
    <w:rsid w:val="00442902"/>
    <w:rsid w:val="004D18BC"/>
    <w:rsid w:val="00582C94"/>
    <w:rsid w:val="005D3F66"/>
    <w:rsid w:val="005F1D44"/>
    <w:rsid w:val="005F3D3F"/>
    <w:rsid w:val="00731F7B"/>
    <w:rsid w:val="007A5916"/>
    <w:rsid w:val="00815BE4"/>
    <w:rsid w:val="008A7E7A"/>
    <w:rsid w:val="008C3E58"/>
    <w:rsid w:val="008D441E"/>
    <w:rsid w:val="00905127"/>
    <w:rsid w:val="00906477"/>
    <w:rsid w:val="0093725A"/>
    <w:rsid w:val="009728E5"/>
    <w:rsid w:val="00981F94"/>
    <w:rsid w:val="00A455F0"/>
    <w:rsid w:val="00A553A8"/>
    <w:rsid w:val="00A64C74"/>
    <w:rsid w:val="00A9332D"/>
    <w:rsid w:val="00AF4DD4"/>
    <w:rsid w:val="00BD0ABC"/>
    <w:rsid w:val="00C1380B"/>
    <w:rsid w:val="00CF0C3E"/>
    <w:rsid w:val="00D022EA"/>
    <w:rsid w:val="00DF6629"/>
    <w:rsid w:val="00E04560"/>
    <w:rsid w:val="00E2035E"/>
    <w:rsid w:val="00E30B6A"/>
    <w:rsid w:val="00F256DA"/>
    <w:rsid w:val="00F31DAC"/>
    <w:rsid w:val="00FC7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748"/>
    <w:pPr>
      <w:ind w:left="720"/>
      <w:contextualSpacing/>
    </w:pPr>
  </w:style>
  <w:style w:type="paragraph" w:styleId="BalloonText">
    <w:name w:val="Balloon Text"/>
    <w:basedOn w:val="Normal"/>
    <w:link w:val="BalloonTextChar"/>
    <w:uiPriority w:val="99"/>
    <w:semiHidden/>
    <w:unhideWhenUsed/>
    <w:rsid w:val="008C3E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E5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Junaid Mesia</dc:creator>
  <cp:lastModifiedBy>sohail.ahmed</cp:lastModifiedBy>
  <cp:revision>2</cp:revision>
  <cp:lastPrinted>2018-06-21T18:08:00Z</cp:lastPrinted>
  <dcterms:created xsi:type="dcterms:W3CDTF">2018-06-29T05:20:00Z</dcterms:created>
  <dcterms:modified xsi:type="dcterms:W3CDTF">2018-06-29T05:20:00Z</dcterms:modified>
</cp:coreProperties>
</file>