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16"/>
        <w:gridCol w:w="5952"/>
        <w:gridCol w:w="2572"/>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625" w:type="dxa"/>
        <w:tblInd w:w="113" w:type="dxa"/>
        <w:tblLayout w:type="fixed"/>
        <w:tblLook w:val="04A0" w:firstRow="1" w:lastRow="0" w:firstColumn="1" w:lastColumn="0" w:noHBand="0" w:noVBand="1"/>
      </w:tblPr>
      <w:tblGrid>
        <w:gridCol w:w="883"/>
        <w:gridCol w:w="926"/>
        <w:gridCol w:w="1192"/>
        <w:gridCol w:w="1224"/>
        <w:gridCol w:w="1170"/>
        <w:gridCol w:w="1080"/>
        <w:gridCol w:w="1170"/>
        <w:gridCol w:w="1170"/>
        <w:gridCol w:w="810"/>
      </w:tblGrid>
      <w:tr w:rsidR="008C71B9" w:rsidRPr="00346C35" w:rsidTr="008C71B9">
        <w:trPr>
          <w:trHeight w:val="509"/>
        </w:trPr>
        <w:tc>
          <w:tcPr>
            <w:tcW w:w="883"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Year</w:t>
            </w:r>
          </w:p>
        </w:tc>
        <w:tc>
          <w:tcPr>
            <w:tcW w:w="926"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Net Returns</w:t>
            </w:r>
          </w:p>
        </w:tc>
        <w:tc>
          <w:tcPr>
            <w:tcW w:w="1192"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Benchmark</w:t>
            </w:r>
          </w:p>
        </w:tc>
        <w:tc>
          <w:tcPr>
            <w:tcW w:w="1224"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Composite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Benchmark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Internal Dispersion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Composite Assets</w:t>
            </w:r>
          </w:p>
        </w:tc>
        <w:tc>
          <w:tcPr>
            <w:tcW w:w="81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Firm Assets</w:t>
            </w:r>
          </w:p>
        </w:tc>
      </w:tr>
      <w:tr w:rsidR="008C71B9" w:rsidRPr="00346C35" w:rsidTr="008C71B9">
        <w:trPr>
          <w:trHeight w:val="509"/>
        </w:trPr>
        <w:tc>
          <w:tcPr>
            <w:tcW w:w="883"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926"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92"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224"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346C35" w:rsidTr="008C71B9">
        <w:trPr>
          <w:trHeight w:val="509"/>
        </w:trPr>
        <w:tc>
          <w:tcPr>
            <w:tcW w:w="883"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926"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92"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224"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FY15</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39.2%</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16.0%</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21.6%</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19.4%</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6,545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57,855 </w:t>
            </w: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FY16</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5.6%</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9.8%</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17.3%</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8,687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62,295 </w:t>
            </w: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FY17</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29.9%</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23.2%</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15.3%</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15.9%</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14.3%</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12,596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76,298 </w:t>
            </w: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FY18</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-7.6%</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-10.0%</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16.5%</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11,027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82,197 </w:t>
            </w: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FY19</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-16.2%</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-19.1%</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17.7%</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16.9%</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4.2%</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10,431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84,050 </w:t>
            </w: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FY20</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-2.0%</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37.8%</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35.9%</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2.5%</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9,598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117,194 </w:t>
            </w: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FY21</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33.7%</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37.6%</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18.5%</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19.4%</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13,453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163,938 </w:t>
            </w: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FY22</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-16.5%</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-12.3%</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13.3%</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10.6%</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9,957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195,809 </w:t>
            </w:r>
          </w:p>
        </w:tc>
      </w:tr>
      <w:tr w:rsidR="008C71B9" w:rsidRPr="00346C35" w:rsidTr="008C71B9">
        <w:trPr>
          <w:trHeight w:val="276"/>
        </w:trPr>
        <w:tc>
          <w:tcPr>
            <w:tcW w:w="883"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FY23</w:t>
            </w:r>
          </w:p>
        </w:tc>
        <w:tc>
          <w:tcPr>
            <w:tcW w:w="926"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-2.2%</w:t>
            </w:r>
          </w:p>
        </w:tc>
        <w:tc>
          <w:tcPr>
            <w:tcW w:w="119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-0.2%</w:t>
            </w:r>
          </w:p>
        </w:tc>
        <w:tc>
          <w:tcPr>
            <w:tcW w:w="1224"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13.4%</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9.8%</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 </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0.6%</w:t>
            </w:r>
          </w:p>
        </w:tc>
        <w:tc>
          <w:tcPr>
            <w:tcW w:w="117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5,776 </w:t>
            </w:r>
          </w:p>
        </w:tc>
        <w:tc>
          <w:tcPr>
            <w:tcW w:w="81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235,912 </w:t>
            </w:r>
          </w:p>
        </w:tc>
      </w:tr>
      <w:tr w:rsidR="008C71B9" w:rsidRPr="00346C35" w:rsidTr="008C71B9">
        <w:trPr>
          <w:trHeight w:val="276"/>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1QFY24</w:t>
            </w:r>
          </w:p>
        </w:tc>
        <w:tc>
          <w:tcPr>
            <w:tcW w:w="926"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9.8%</w:t>
            </w:r>
          </w:p>
        </w:tc>
        <w:tc>
          <w:tcPr>
            <w:tcW w:w="1192"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11.5%</w:t>
            </w:r>
          </w:p>
        </w:tc>
        <w:tc>
          <w:tcPr>
            <w:tcW w:w="1224"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16.6%</w:t>
            </w:r>
          </w:p>
        </w:tc>
        <w:tc>
          <w:tcPr>
            <w:tcW w:w="117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16.8%</w:t>
            </w:r>
          </w:p>
        </w:tc>
        <w:tc>
          <w:tcPr>
            <w:tcW w:w="10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 </w:t>
            </w:r>
          </w:p>
        </w:tc>
        <w:tc>
          <w:tcPr>
            <w:tcW w:w="117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w:t>
            </w:r>
          </w:p>
        </w:tc>
        <w:tc>
          <w:tcPr>
            <w:tcW w:w="117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5,297 </w:t>
            </w:r>
          </w:p>
        </w:tc>
        <w:tc>
          <w:tcPr>
            <w:tcW w:w="81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239,785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w:t>
      </w:r>
      <w:proofErr w:type="spellStart"/>
      <w:r w:rsidRPr="004E237C">
        <w:rPr>
          <w:color w:val="000000" w:themeColor="text1"/>
          <w:sz w:val="20"/>
          <w:szCs w:val="20"/>
        </w:rPr>
        <w:t>i</w:t>
      </w:r>
      <w:proofErr w:type="spellEnd"/>
      <w:r w:rsidRPr="004E237C">
        <w:rPr>
          <w:color w:val="000000" w:themeColor="text1"/>
          <w:sz w:val="20"/>
          <w:szCs w:val="20"/>
        </w:rPr>
        <w:t>)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Internal dispersion is calculated using the equal-weighted standard deviation of annual net returns of those portfolios that were included in the composite for the entire year.</w:t>
      </w:r>
    </w:p>
    <w:p w:rsidR="00C46318" w:rsidRPr="004E237C" w:rsidRDefault="00C46318" w:rsidP="00C46318">
      <w:pPr>
        <w:jc w:val="both"/>
        <w:rPr>
          <w:b/>
          <w:color w:val="000000" w:themeColor="text1"/>
          <w:sz w:val="20"/>
          <w:szCs w:val="20"/>
        </w:rPr>
      </w:pPr>
      <w:r w:rsidRPr="004E237C">
        <w:rPr>
          <w:b/>
          <w:color w:val="000000" w:themeColor="text1"/>
          <w:sz w:val="20"/>
          <w:szCs w:val="20"/>
        </w:rPr>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Pr="00C46318" w:rsidRDefault="00035206" w:rsidP="00C46318">
      <w:pPr>
        <w:jc w:val="center"/>
        <w:rPr>
          <w:b/>
          <w:szCs w:val="20"/>
        </w:rPr>
      </w:pPr>
      <w:r>
        <w:rPr>
          <w:b/>
          <w:szCs w:val="20"/>
        </w:rPr>
        <w:t xml:space="preserve">MCB Pakistan </w:t>
      </w:r>
      <w:r w:rsidR="00C46318" w:rsidRPr="00C46318">
        <w:rPr>
          <w:b/>
          <w:szCs w:val="20"/>
        </w:rPr>
        <w:t>Islamic Equity</w:t>
      </w:r>
      <w:r>
        <w:rPr>
          <w:b/>
          <w:szCs w:val="20"/>
        </w:rPr>
        <w:t xml:space="preserve"> Composite</w:t>
      </w:r>
    </w:p>
    <w:tbl>
      <w:tblPr>
        <w:tblW w:w="9360" w:type="dxa"/>
        <w:tblInd w:w="113" w:type="dxa"/>
        <w:tblLook w:val="04A0" w:firstRow="1" w:lastRow="0" w:firstColumn="1" w:lastColumn="0" w:noHBand="0" w:noVBand="1"/>
      </w:tblPr>
      <w:tblGrid>
        <w:gridCol w:w="860"/>
        <w:gridCol w:w="1160"/>
        <w:gridCol w:w="1120"/>
        <w:gridCol w:w="1440"/>
        <w:gridCol w:w="1440"/>
        <w:gridCol w:w="1160"/>
        <w:gridCol w:w="1140"/>
        <w:gridCol w:w="1040"/>
      </w:tblGrid>
      <w:tr w:rsidR="008C71B9" w:rsidRPr="008446A6" w:rsidTr="008C71B9">
        <w:trPr>
          <w:trHeight w:val="509"/>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Year</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Net Returns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Benchmark</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Composite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Benchmark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Composite Assets</w:t>
            </w:r>
          </w:p>
        </w:tc>
        <w:tc>
          <w:tcPr>
            <w:tcW w:w="104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Firm Assets</w:t>
            </w:r>
          </w:p>
        </w:tc>
      </w:tr>
      <w:tr w:rsidR="008C71B9" w:rsidRPr="008446A6" w:rsidTr="008C71B9">
        <w:trPr>
          <w:trHeight w:val="509"/>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446A6" w:rsidTr="008C71B9">
        <w:trPr>
          <w:trHeight w:val="509"/>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FY15</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39.5%</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20.1%</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20.7%</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17.1%</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805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57,855 </w:t>
            </w: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FY16</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5.6%</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15.5%</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14.5%</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16.4%</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1,288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62,295 </w:t>
            </w: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FY17</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30.4%</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18.8%</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15.0%</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20.2%</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3,118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76,298 </w:t>
            </w: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FY18</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-11.8%</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-9.6%</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17.4%</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18.9%</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3,055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82,197 </w:t>
            </w: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FY19</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-20.0%</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-23.8%</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15.9%</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20.5%</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2,452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84,050 </w:t>
            </w: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FY20</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3.8%</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38.9%</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41.4%</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3,196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117,194 </w:t>
            </w: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FY21</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31.0%</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39.3%</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18.2%</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21.4%</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4,102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163,938 </w:t>
            </w: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FY22</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-19.1%</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-10.3%</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13.9%</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11.6%</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2,993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195,809 </w:t>
            </w:r>
          </w:p>
        </w:tc>
      </w:tr>
      <w:tr w:rsidR="008C71B9" w:rsidRPr="008446A6" w:rsidTr="008C71B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FY23</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2.9%</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13.5%</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12.7%</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2,887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235,912 </w:t>
            </w:r>
          </w:p>
        </w:tc>
      </w:tr>
      <w:tr w:rsidR="008C71B9" w:rsidRPr="008446A6" w:rsidTr="008C71B9">
        <w:trPr>
          <w:trHeight w:val="276"/>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1QFY24</w:t>
            </w:r>
          </w:p>
        </w:tc>
        <w:tc>
          <w:tcPr>
            <w:tcW w:w="11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7.9%</w:t>
            </w:r>
          </w:p>
        </w:tc>
        <w:tc>
          <w:tcPr>
            <w:tcW w:w="112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9.8%</w:t>
            </w:r>
          </w:p>
        </w:tc>
        <w:tc>
          <w:tcPr>
            <w:tcW w:w="14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17.4%</w:t>
            </w:r>
          </w:p>
        </w:tc>
        <w:tc>
          <w:tcPr>
            <w:tcW w:w="14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15.0%</w:t>
            </w:r>
          </w:p>
        </w:tc>
        <w:tc>
          <w:tcPr>
            <w:tcW w:w="11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3,085 </w:t>
            </w:r>
          </w:p>
        </w:tc>
        <w:tc>
          <w:tcPr>
            <w:tcW w:w="104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239,785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w:t>
      </w:r>
      <w:proofErr w:type="spellStart"/>
      <w:r w:rsidRPr="00BD2A00">
        <w:rPr>
          <w:color w:val="000000" w:themeColor="text1"/>
          <w:sz w:val="20"/>
          <w:szCs w:val="20"/>
        </w:rPr>
        <w:t>i</w:t>
      </w:r>
      <w:proofErr w:type="spellEnd"/>
      <w:r w:rsidRPr="00BD2A00">
        <w:rPr>
          <w:color w:val="000000" w:themeColor="text1"/>
          <w:sz w:val="20"/>
          <w:szCs w:val="20"/>
        </w:rPr>
        <w:t>)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w:t>
      </w:r>
      <w:r w:rsidRPr="00BD2A00">
        <w:rPr>
          <w:sz w:val="20"/>
          <w:szCs w:val="20"/>
        </w:rPr>
        <w:lastRenderedPageBreak/>
        <w:t xml:space="preserve">income instruments based on fund manager’s view of volatility or as a tactical strategy. The securities and investments in the portfolios of this composite shall be first deemed approved by the Shariah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 xml:space="preserve">2.0% </w:t>
            </w:r>
            <w:proofErr w:type="spellStart"/>
            <w:r w:rsidRPr="00BD2A00">
              <w:rPr>
                <w:color w:val="000000" w:themeColor="text1"/>
                <w:sz w:val="20"/>
                <w:szCs w:val="20"/>
              </w:rPr>
              <w:t>p.a</w:t>
            </w:r>
            <w:proofErr w:type="spellEnd"/>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lastRenderedPageBreak/>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D2A00" w:rsidRDefault="00C46318" w:rsidP="00C46318">
      <w:pPr>
        <w:jc w:val="both"/>
        <w:rPr>
          <w:b/>
          <w:color w:val="000000" w:themeColor="text1"/>
          <w:sz w:val="20"/>
          <w:szCs w:val="20"/>
        </w:rPr>
      </w:pPr>
      <w:r w:rsidRPr="00BD2A00">
        <w:rPr>
          <w:b/>
          <w:color w:val="000000" w:themeColor="text1"/>
          <w:sz w:val="20"/>
          <w:szCs w:val="20"/>
        </w:rPr>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lastRenderedPageBreak/>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010CA5" w:rsidRPr="000868DB" w:rsidRDefault="00C46318" w:rsidP="000868DB">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010CA5" w:rsidRDefault="00010CA5" w:rsidP="00C46318">
      <w:pPr>
        <w:jc w:val="center"/>
        <w:rPr>
          <w:b/>
          <w:szCs w:val="20"/>
        </w:rPr>
      </w:pPr>
    </w:p>
    <w:p w:rsidR="00010CA5" w:rsidRDefault="00010CA5" w:rsidP="00C46318">
      <w:pPr>
        <w:jc w:val="center"/>
        <w:rPr>
          <w:b/>
          <w:szCs w:val="20"/>
        </w:rPr>
      </w:pPr>
    </w:p>
    <w:p w:rsidR="00C46318" w:rsidRPr="00C46318" w:rsidRDefault="00FB771C" w:rsidP="00C46318">
      <w:pPr>
        <w:jc w:val="center"/>
        <w:rPr>
          <w:b/>
          <w:szCs w:val="20"/>
        </w:rPr>
      </w:pPr>
      <w:r>
        <w:rPr>
          <w:b/>
          <w:szCs w:val="20"/>
        </w:rPr>
        <w:lastRenderedPageBreak/>
        <w:t xml:space="preserve">MCB Pakistan </w:t>
      </w:r>
      <w:r w:rsidR="00C46318">
        <w:rPr>
          <w:b/>
          <w:szCs w:val="20"/>
        </w:rPr>
        <w:t>Money Ma</w:t>
      </w:r>
      <w:r w:rsidR="00C46318" w:rsidRPr="00C46318">
        <w:rPr>
          <w:b/>
          <w:szCs w:val="20"/>
        </w:rPr>
        <w:t>rket</w:t>
      </w:r>
      <w:r>
        <w:rPr>
          <w:b/>
          <w:szCs w:val="20"/>
        </w:rPr>
        <w:t xml:space="preserve"> Composite</w:t>
      </w:r>
    </w:p>
    <w:tbl>
      <w:tblPr>
        <w:tblW w:w="8500" w:type="dxa"/>
        <w:tblInd w:w="113" w:type="dxa"/>
        <w:tblLook w:val="04A0" w:firstRow="1" w:lastRow="0" w:firstColumn="1" w:lastColumn="0" w:noHBand="0" w:noVBand="1"/>
      </w:tblPr>
      <w:tblGrid>
        <w:gridCol w:w="980"/>
        <w:gridCol w:w="1060"/>
        <w:gridCol w:w="1062"/>
        <w:gridCol w:w="1180"/>
        <w:gridCol w:w="1240"/>
        <w:gridCol w:w="946"/>
        <w:gridCol w:w="1140"/>
        <w:gridCol w:w="980"/>
      </w:tblGrid>
      <w:tr w:rsidR="008C71B9" w:rsidRPr="008C71B9" w:rsidTr="008C71B9">
        <w:trPr>
          <w:trHeight w:val="509"/>
        </w:trPr>
        <w:tc>
          <w:tcPr>
            <w:tcW w:w="98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Year</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Net Returns</w:t>
            </w:r>
          </w:p>
        </w:tc>
        <w:tc>
          <w:tcPr>
            <w:tcW w:w="100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Benchmark</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Composite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Benchmark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92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Composite Assets</w:t>
            </w:r>
          </w:p>
        </w:tc>
        <w:tc>
          <w:tcPr>
            <w:tcW w:w="9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Firm Assets</w:t>
            </w:r>
          </w:p>
        </w:tc>
      </w:tr>
      <w:tr w:rsidR="008C71B9" w:rsidRPr="008C71B9" w:rsidTr="008C71B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0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9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98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C71B9" w:rsidTr="008C71B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0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9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98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FY15</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8.8%</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8.5%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0.3%</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0.4%</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14,171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57,855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FY16</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5.8%</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6.0%</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0.6%</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6,108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62,295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FY17</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7.3%</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5.4%</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1.4%</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0.5%</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10,891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76,298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FY18</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5.4%</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0.4%</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0.2%</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13,121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82,197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FY19</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8.8%</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9.1%</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0.9%</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14,409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84,050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FY20</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12.7%</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12.4%</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32,322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117,194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FY21</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7.0%</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6.9%</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0.6%</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0.6%</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37,682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163,938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FY22</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10.8%</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9.7%</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70,575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195,809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FY23</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17.4%</w:t>
            </w:r>
          </w:p>
        </w:tc>
        <w:tc>
          <w:tcPr>
            <w:tcW w:w="10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2.2%</w:t>
            </w:r>
          </w:p>
        </w:tc>
        <w:tc>
          <w:tcPr>
            <w:tcW w:w="9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77,231 </w:t>
            </w:r>
          </w:p>
        </w:tc>
        <w:tc>
          <w:tcPr>
            <w:tcW w:w="98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235,912 </w:t>
            </w:r>
          </w:p>
        </w:tc>
      </w:tr>
      <w:tr w:rsidR="008C71B9" w:rsidRPr="008C71B9" w:rsidTr="008C71B9">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1QFY24</w:t>
            </w:r>
          </w:p>
        </w:tc>
        <w:tc>
          <w:tcPr>
            <w:tcW w:w="10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5.3%</w:t>
            </w:r>
          </w:p>
        </w:tc>
        <w:tc>
          <w:tcPr>
            <w:tcW w:w="100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5.7%</w:t>
            </w:r>
          </w:p>
        </w:tc>
        <w:tc>
          <w:tcPr>
            <w:tcW w:w="11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w:t>
            </w:r>
          </w:p>
        </w:tc>
        <w:tc>
          <w:tcPr>
            <w:tcW w:w="12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w:t>
            </w:r>
          </w:p>
        </w:tc>
        <w:tc>
          <w:tcPr>
            <w:tcW w:w="92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65,479 </w:t>
            </w:r>
          </w:p>
        </w:tc>
        <w:tc>
          <w:tcPr>
            <w:tcW w:w="98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239,785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 xml:space="preserve">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w:t>
      </w:r>
      <w:r w:rsidRPr="00445375">
        <w:rPr>
          <w:sz w:val="20"/>
          <w:szCs w:val="20"/>
        </w:rPr>
        <w:lastRenderedPageBreak/>
        <w:t>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w:t>
      </w:r>
      <w:proofErr w:type="gramStart"/>
      <w:r w:rsidRPr="00445375">
        <w:rPr>
          <w:color w:val="000000" w:themeColor="text1"/>
          <w:sz w:val="20"/>
          <w:szCs w:val="20"/>
        </w:rPr>
        <w:t>%  three</w:t>
      </w:r>
      <w:proofErr w:type="gramEnd"/>
      <w:r w:rsidRPr="00445375">
        <w:rPr>
          <w:color w:val="000000" w:themeColor="text1"/>
          <w:sz w:val="20"/>
          <w:szCs w:val="20"/>
        </w:rPr>
        <w:t xml:space="preserv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23"/>
        <w:gridCol w:w="4619"/>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Ex Post Standard Deviation</w:t>
      </w:r>
    </w:p>
    <w:p w:rsidR="00272E5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744019" w:rsidRDefault="00744019" w:rsidP="00CA3F8B">
      <w:pPr>
        <w:jc w:val="center"/>
        <w:rPr>
          <w:b/>
          <w:szCs w:val="20"/>
        </w:rPr>
      </w:pPr>
    </w:p>
    <w:p w:rsidR="00010CA5" w:rsidRDefault="00010CA5" w:rsidP="000868DB">
      <w:pPr>
        <w:rPr>
          <w:b/>
          <w:szCs w:val="20"/>
        </w:rPr>
      </w:pPr>
    </w:p>
    <w:p w:rsidR="00CA3F8B" w:rsidRPr="00C46318" w:rsidRDefault="00CA3F8B" w:rsidP="00CA3F8B">
      <w:pPr>
        <w:jc w:val="center"/>
        <w:rPr>
          <w:b/>
          <w:szCs w:val="20"/>
        </w:rPr>
      </w:pPr>
      <w:r>
        <w:rPr>
          <w:b/>
          <w:szCs w:val="20"/>
        </w:rPr>
        <w:lastRenderedPageBreak/>
        <w:t>MCB Pakistan Islamic Money Ma</w:t>
      </w:r>
      <w:r w:rsidRPr="00C46318">
        <w:rPr>
          <w:b/>
          <w:szCs w:val="20"/>
        </w:rPr>
        <w:t>rket</w:t>
      </w:r>
      <w:r>
        <w:rPr>
          <w:b/>
          <w:szCs w:val="20"/>
        </w:rPr>
        <w:t xml:space="preserve"> Composite</w:t>
      </w:r>
    </w:p>
    <w:tbl>
      <w:tblPr>
        <w:tblW w:w="9480" w:type="dxa"/>
        <w:tblLook w:val="04A0" w:firstRow="1" w:lastRow="0" w:firstColumn="1" w:lastColumn="0" w:noHBand="0" w:noVBand="1"/>
      </w:tblPr>
      <w:tblGrid>
        <w:gridCol w:w="980"/>
        <w:gridCol w:w="1140"/>
        <w:gridCol w:w="1062"/>
        <w:gridCol w:w="1440"/>
        <w:gridCol w:w="1440"/>
        <w:gridCol w:w="1220"/>
        <w:gridCol w:w="1180"/>
        <w:gridCol w:w="1040"/>
      </w:tblGrid>
      <w:tr w:rsidR="00803D71" w:rsidRPr="00803D71" w:rsidTr="00803D71">
        <w:trPr>
          <w:trHeight w:val="464"/>
        </w:trPr>
        <w:tc>
          <w:tcPr>
            <w:tcW w:w="98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Year</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Net Returns</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Benchmark</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Composite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Benchmark 3 Yr Standard Deviation</w:t>
            </w:r>
          </w:p>
        </w:tc>
        <w:tc>
          <w:tcPr>
            <w:tcW w:w="1220" w:type="dxa"/>
            <w:vMerge w:val="restart"/>
            <w:tcBorders>
              <w:top w:val="single" w:sz="4" w:space="0" w:color="auto"/>
              <w:left w:val="nil"/>
              <w:bottom w:val="single" w:sz="4" w:space="0" w:color="000000"/>
              <w:right w:val="nil"/>
            </w:tcBorders>
            <w:shd w:val="clear" w:color="000000" w:fill="538DD5"/>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Number of Portfolios</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Composite Assets</w:t>
            </w:r>
          </w:p>
        </w:tc>
        <w:tc>
          <w:tcPr>
            <w:tcW w:w="104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Firm Assets</w:t>
            </w:r>
          </w:p>
        </w:tc>
      </w:tr>
      <w:tr w:rsidR="00803D71" w:rsidRPr="00803D71" w:rsidTr="00803D71">
        <w:trPr>
          <w:trHeight w:val="464"/>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14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04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22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18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040" w:type="dxa"/>
            <w:vMerge/>
            <w:tcBorders>
              <w:top w:val="single" w:sz="4" w:space="0" w:color="auto"/>
              <w:left w:val="nil"/>
              <w:bottom w:val="single" w:sz="4" w:space="0" w:color="000000"/>
              <w:right w:val="single" w:sz="4" w:space="0" w:color="auto"/>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r>
      <w:tr w:rsidR="00803D71" w:rsidRPr="00803D71" w:rsidTr="00803D71">
        <w:trPr>
          <w:trHeight w:val="464"/>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14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04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22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180" w:type="dxa"/>
            <w:vMerge/>
            <w:tcBorders>
              <w:top w:val="single" w:sz="4" w:space="0" w:color="auto"/>
              <w:left w:val="nil"/>
              <w:bottom w:val="single" w:sz="4" w:space="0" w:color="000000"/>
              <w:right w:val="nil"/>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c>
          <w:tcPr>
            <w:tcW w:w="1040" w:type="dxa"/>
            <w:vMerge/>
            <w:tcBorders>
              <w:top w:val="single" w:sz="4" w:space="0" w:color="auto"/>
              <w:left w:val="nil"/>
              <w:bottom w:val="single" w:sz="4" w:space="0" w:color="000000"/>
              <w:right w:val="single" w:sz="4" w:space="0" w:color="auto"/>
            </w:tcBorders>
            <w:vAlign w:val="center"/>
            <w:hideMark/>
          </w:tcPr>
          <w:p w:rsidR="00803D71" w:rsidRPr="00803D71" w:rsidRDefault="00803D71" w:rsidP="00803D71">
            <w:pPr>
              <w:spacing w:after="0" w:line="240" w:lineRule="auto"/>
              <w:rPr>
                <w:rFonts w:ascii="Calibri" w:eastAsia="Times New Roman" w:hAnsi="Calibri" w:cs="Calibri"/>
                <w:b/>
                <w:bCs/>
                <w:color w:val="000000"/>
                <w:sz w:val="18"/>
                <w:szCs w:val="18"/>
                <w:lang/>
              </w:rPr>
            </w:pPr>
          </w:p>
        </w:tc>
      </w:tr>
      <w:tr w:rsidR="00803D71" w:rsidRPr="00803D71" w:rsidTr="00803D71">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FY21</w:t>
            </w:r>
          </w:p>
        </w:tc>
        <w:tc>
          <w:tcPr>
            <w:tcW w:w="11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5.6%</w:t>
            </w:r>
          </w:p>
        </w:tc>
        <w:tc>
          <w:tcPr>
            <w:tcW w:w="10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2.8%</w:t>
            </w:r>
          </w:p>
        </w:tc>
        <w:tc>
          <w:tcPr>
            <w:tcW w:w="14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 </w:t>
            </w:r>
          </w:p>
        </w:tc>
        <w:tc>
          <w:tcPr>
            <w:tcW w:w="14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 </w:t>
            </w:r>
          </w:p>
        </w:tc>
        <w:tc>
          <w:tcPr>
            <w:tcW w:w="122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&lt;5</w:t>
            </w:r>
          </w:p>
        </w:tc>
        <w:tc>
          <w:tcPr>
            <w:tcW w:w="118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15,258</w:t>
            </w:r>
          </w:p>
        </w:tc>
        <w:tc>
          <w:tcPr>
            <w:tcW w:w="1040" w:type="dxa"/>
            <w:tcBorders>
              <w:top w:val="nil"/>
              <w:left w:val="nil"/>
              <w:bottom w:val="nil"/>
              <w:right w:val="single" w:sz="4" w:space="0" w:color="auto"/>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163,938</w:t>
            </w:r>
          </w:p>
        </w:tc>
      </w:tr>
      <w:tr w:rsidR="00803D71" w:rsidRPr="00803D71" w:rsidTr="00803D71">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FY22</w:t>
            </w:r>
          </w:p>
        </w:tc>
        <w:tc>
          <w:tcPr>
            <w:tcW w:w="11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9.8%</w:t>
            </w:r>
          </w:p>
        </w:tc>
        <w:tc>
          <w:tcPr>
            <w:tcW w:w="10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3.7%</w:t>
            </w:r>
          </w:p>
        </w:tc>
        <w:tc>
          <w:tcPr>
            <w:tcW w:w="14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 </w:t>
            </w:r>
          </w:p>
        </w:tc>
        <w:tc>
          <w:tcPr>
            <w:tcW w:w="14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 </w:t>
            </w:r>
          </w:p>
        </w:tc>
        <w:tc>
          <w:tcPr>
            <w:tcW w:w="122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&lt;5</w:t>
            </w:r>
          </w:p>
        </w:tc>
        <w:tc>
          <w:tcPr>
            <w:tcW w:w="118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11,894</w:t>
            </w:r>
          </w:p>
        </w:tc>
        <w:tc>
          <w:tcPr>
            <w:tcW w:w="1040" w:type="dxa"/>
            <w:tcBorders>
              <w:top w:val="nil"/>
              <w:left w:val="nil"/>
              <w:bottom w:val="nil"/>
              <w:right w:val="single" w:sz="4" w:space="0" w:color="auto"/>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195,809</w:t>
            </w:r>
          </w:p>
        </w:tc>
      </w:tr>
      <w:tr w:rsidR="00803D71" w:rsidRPr="00803D71" w:rsidTr="00803D71">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FY23</w:t>
            </w:r>
          </w:p>
        </w:tc>
        <w:tc>
          <w:tcPr>
            <w:tcW w:w="11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17.0%</w:t>
            </w:r>
          </w:p>
        </w:tc>
        <w:tc>
          <w:tcPr>
            <w:tcW w:w="10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6.4%</w:t>
            </w:r>
          </w:p>
        </w:tc>
        <w:tc>
          <w:tcPr>
            <w:tcW w:w="14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 </w:t>
            </w:r>
          </w:p>
        </w:tc>
        <w:tc>
          <w:tcPr>
            <w:tcW w:w="144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 </w:t>
            </w:r>
          </w:p>
        </w:tc>
        <w:tc>
          <w:tcPr>
            <w:tcW w:w="122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&lt;5</w:t>
            </w:r>
          </w:p>
        </w:tc>
        <w:tc>
          <w:tcPr>
            <w:tcW w:w="1180" w:type="dxa"/>
            <w:tcBorders>
              <w:top w:val="nil"/>
              <w:left w:val="nil"/>
              <w:bottom w:val="nil"/>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29,843</w:t>
            </w:r>
          </w:p>
        </w:tc>
        <w:tc>
          <w:tcPr>
            <w:tcW w:w="1040" w:type="dxa"/>
            <w:tcBorders>
              <w:top w:val="nil"/>
              <w:left w:val="nil"/>
              <w:bottom w:val="nil"/>
              <w:right w:val="single" w:sz="4" w:space="0" w:color="auto"/>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235,912</w:t>
            </w:r>
          </w:p>
        </w:tc>
      </w:tr>
      <w:tr w:rsidR="00803D71" w:rsidRPr="00803D71" w:rsidTr="00803D71">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b/>
                <w:bCs/>
                <w:color w:val="000000"/>
                <w:sz w:val="18"/>
                <w:szCs w:val="18"/>
                <w:lang/>
              </w:rPr>
            </w:pPr>
            <w:r w:rsidRPr="00803D71">
              <w:rPr>
                <w:rFonts w:ascii="Calibri" w:eastAsia="Times New Roman" w:hAnsi="Calibri" w:cs="Calibri"/>
                <w:b/>
                <w:bCs/>
                <w:color w:val="000000"/>
                <w:sz w:val="18"/>
                <w:szCs w:val="18"/>
                <w:lang/>
              </w:rPr>
              <w:t>1QFY24</w:t>
            </w:r>
          </w:p>
        </w:tc>
        <w:tc>
          <w:tcPr>
            <w:tcW w:w="1140" w:type="dxa"/>
            <w:tcBorders>
              <w:top w:val="nil"/>
              <w:left w:val="nil"/>
              <w:bottom w:val="single" w:sz="4" w:space="0" w:color="auto"/>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5.1%</w:t>
            </w:r>
          </w:p>
        </w:tc>
        <w:tc>
          <w:tcPr>
            <w:tcW w:w="1040" w:type="dxa"/>
            <w:tcBorders>
              <w:top w:val="nil"/>
              <w:left w:val="nil"/>
              <w:bottom w:val="single" w:sz="4" w:space="0" w:color="auto"/>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2.1%</w:t>
            </w:r>
          </w:p>
        </w:tc>
        <w:tc>
          <w:tcPr>
            <w:tcW w:w="1440" w:type="dxa"/>
            <w:tcBorders>
              <w:top w:val="nil"/>
              <w:left w:val="nil"/>
              <w:bottom w:val="single" w:sz="4" w:space="0" w:color="auto"/>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 </w:t>
            </w:r>
          </w:p>
        </w:tc>
        <w:tc>
          <w:tcPr>
            <w:tcW w:w="1440" w:type="dxa"/>
            <w:tcBorders>
              <w:top w:val="nil"/>
              <w:left w:val="nil"/>
              <w:bottom w:val="single" w:sz="4" w:space="0" w:color="auto"/>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 </w:t>
            </w:r>
          </w:p>
        </w:tc>
        <w:tc>
          <w:tcPr>
            <w:tcW w:w="1220" w:type="dxa"/>
            <w:tcBorders>
              <w:top w:val="nil"/>
              <w:left w:val="nil"/>
              <w:bottom w:val="single" w:sz="4" w:space="0" w:color="auto"/>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&lt;5</w:t>
            </w:r>
          </w:p>
        </w:tc>
        <w:tc>
          <w:tcPr>
            <w:tcW w:w="1180" w:type="dxa"/>
            <w:tcBorders>
              <w:top w:val="nil"/>
              <w:left w:val="nil"/>
              <w:bottom w:val="single" w:sz="4" w:space="0" w:color="auto"/>
              <w:right w:val="nil"/>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34,176</w:t>
            </w:r>
          </w:p>
        </w:tc>
        <w:tc>
          <w:tcPr>
            <w:tcW w:w="1040" w:type="dxa"/>
            <w:tcBorders>
              <w:top w:val="nil"/>
              <w:left w:val="nil"/>
              <w:bottom w:val="single" w:sz="4" w:space="0" w:color="auto"/>
              <w:right w:val="single" w:sz="4" w:space="0" w:color="auto"/>
            </w:tcBorders>
            <w:shd w:val="clear" w:color="000000" w:fill="FFFFFF"/>
            <w:noWrap/>
            <w:vAlign w:val="center"/>
            <w:hideMark/>
          </w:tcPr>
          <w:p w:rsidR="00803D71" w:rsidRPr="00803D71" w:rsidRDefault="00803D71" w:rsidP="00803D71">
            <w:pPr>
              <w:spacing w:after="0" w:line="240" w:lineRule="auto"/>
              <w:jc w:val="center"/>
              <w:rPr>
                <w:rFonts w:ascii="Calibri" w:eastAsia="Times New Roman" w:hAnsi="Calibri" w:cs="Calibri"/>
                <w:color w:val="000000"/>
                <w:sz w:val="18"/>
                <w:szCs w:val="18"/>
                <w:lang/>
              </w:rPr>
            </w:pPr>
            <w:r w:rsidRPr="00803D71">
              <w:rPr>
                <w:rFonts w:ascii="Calibri" w:eastAsia="Times New Roman" w:hAnsi="Calibri" w:cs="Calibri"/>
                <w:color w:val="000000"/>
                <w:sz w:val="18"/>
                <w:szCs w:val="18"/>
                <w:lang/>
              </w:rPr>
              <w:t>239,785</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liquid Shariah Compliant money market securities</w:t>
      </w:r>
      <w:r w:rsidRPr="00445375">
        <w:rPr>
          <w:sz w:val="20"/>
          <w:szCs w:val="20"/>
        </w:rPr>
        <w:t xml:space="preserve">. The weighted average maturity of portfolios in this composite cannot exceed ninety days. The composite currently comprises of </w:t>
      </w:r>
      <w:proofErr w:type="spellStart"/>
      <w:r w:rsidR="0057139F">
        <w:rPr>
          <w:sz w:val="20"/>
          <w:szCs w:val="20"/>
        </w:rPr>
        <w:t>Alhamra</w:t>
      </w:r>
      <w:proofErr w:type="spellEnd"/>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lastRenderedPageBreak/>
        <w:t>A list of all composite descriptions is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10"/>
        <w:gridCol w:w="5332"/>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proofErr w:type="spellStart"/>
            <w:r>
              <w:rPr>
                <w:sz w:val="20"/>
                <w:szCs w:val="20"/>
              </w:rPr>
              <w:t>Alhamra</w:t>
            </w:r>
            <w:proofErr w:type="spellEnd"/>
            <w:r>
              <w:rPr>
                <w:sz w:val="20"/>
                <w:szCs w:val="20"/>
              </w:rPr>
              <w:t xml:space="preserve"> Islamic Money Market Fund</w:t>
            </w:r>
          </w:p>
        </w:tc>
        <w:tc>
          <w:tcPr>
            <w:tcW w:w="5400" w:type="dxa"/>
          </w:tcPr>
          <w:p w:rsidR="007360B7" w:rsidRDefault="007360B7" w:rsidP="00CA3F8B">
            <w:pPr>
              <w:jc w:val="center"/>
              <w:rPr>
                <w:color w:val="000000" w:themeColor="text1"/>
                <w:sz w:val="20"/>
                <w:szCs w:val="20"/>
              </w:rPr>
            </w:pPr>
            <w:proofErr w:type="spellStart"/>
            <w:r>
              <w:rPr>
                <w:color w:val="000000" w:themeColor="text1"/>
                <w:sz w:val="20"/>
                <w:szCs w:val="20"/>
              </w:rPr>
              <w:t>Upto</w:t>
            </w:r>
            <w:proofErr w:type="spellEnd"/>
            <w:r>
              <w:rPr>
                <w:color w:val="000000" w:themeColor="text1"/>
                <w:sz w:val="20"/>
                <w:szCs w:val="20"/>
              </w:rPr>
              <w:t xml:space="preserve">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Notwithstanding the tax rates and withholding tax the income of the Fund will be exempt from tax, if not less than ninety per cent (90%) of the income for the year is distributed amongst the Unit Holders as dividend. This includes </w:t>
      </w:r>
      <w:r w:rsidRPr="00445375">
        <w:rPr>
          <w:color w:val="000000" w:themeColor="text1"/>
          <w:sz w:val="20"/>
          <w:szCs w:val="20"/>
        </w:rPr>
        <w:lastRenderedPageBreak/>
        <w:t>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50D7" w:rsidRPr="000868DB" w:rsidRDefault="00CA3F8B" w:rsidP="000868D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r w:rsidR="00F120A6">
        <w:rPr>
          <w:color w:val="000000" w:themeColor="text1"/>
          <w:sz w:val="20"/>
          <w:szCs w:val="20"/>
        </w:rPr>
        <w:t xml:space="preserve"> </w:t>
      </w:r>
      <w:r w:rsidRPr="00445375">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Fixed Income</w:t>
      </w:r>
      <w:r w:rsidRPr="00C31AC8">
        <w:rPr>
          <w:b/>
        </w:rPr>
        <w:t xml:space="preserve"> Composite</w:t>
      </w:r>
    </w:p>
    <w:tbl>
      <w:tblPr>
        <w:tblW w:w="9200" w:type="dxa"/>
        <w:tblInd w:w="113" w:type="dxa"/>
        <w:tblLook w:val="04A0" w:firstRow="1" w:lastRow="0" w:firstColumn="1" w:lastColumn="0" w:noHBand="0" w:noVBand="1"/>
      </w:tblPr>
      <w:tblGrid>
        <w:gridCol w:w="940"/>
        <w:gridCol w:w="860"/>
        <w:gridCol w:w="1062"/>
        <w:gridCol w:w="1180"/>
        <w:gridCol w:w="1080"/>
        <w:gridCol w:w="1120"/>
        <w:gridCol w:w="1040"/>
        <w:gridCol w:w="1040"/>
        <w:gridCol w:w="900"/>
      </w:tblGrid>
      <w:tr w:rsidR="008C71B9" w:rsidRPr="008C71B9" w:rsidTr="008C71B9">
        <w:trPr>
          <w:trHeight w:val="509"/>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Year</w:t>
            </w:r>
          </w:p>
        </w:tc>
        <w:tc>
          <w:tcPr>
            <w:tcW w:w="8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Net Returns</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Benchmark</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Composite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Benchmark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Number of Portfolios</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Internal Dispersion</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Composite Assets</w:t>
            </w:r>
          </w:p>
        </w:tc>
        <w:tc>
          <w:tcPr>
            <w:tcW w:w="9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Firm Assets</w:t>
            </w:r>
          </w:p>
        </w:tc>
      </w:tr>
      <w:tr w:rsidR="008C71B9" w:rsidRPr="008C71B9" w:rsidTr="008C71B9">
        <w:trPr>
          <w:trHeight w:val="509"/>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8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90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C71B9" w:rsidTr="008C71B9">
        <w:trPr>
          <w:trHeight w:val="509"/>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8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90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FY15</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14.1%</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9.2%</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2.1%</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0.4%</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3.6%</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18,723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57,855 </w:t>
            </w: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FY16</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6.9%</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6.6%</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16,805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62,295 </w:t>
            </w: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FY17</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6.1%</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6.1%</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0.5%</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17,571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76,298 </w:t>
            </w: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FY18</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3.8%</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0.2%</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0.1%</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16,674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82,197 </w:t>
            </w: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FY19</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6.3%</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10.9%</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1.1%</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0.3%</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16,688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84,050 </w:t>
            </w: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FY20</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14.6%</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12.6%</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2.7%</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0.2%</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21,345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117,194 </w:t>
            </w: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FY21</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7.6%</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7.7%</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0.1%</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36,328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163,938 </w:t>
            </w: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FY22</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10.1%</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11.5%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0.1%</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38,362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195,809 </w:t>
            </w:r>
          </w:p>
        </w:tc>
      </w:tr>
      <w:tr w:rsidR="008C71B9" w:rsidRPr="008C71B9" w:rsidTr="008C71B9">
        <w:trPr>
          <w:trHeight w:val="276"/>
        </w:trPr>
        <w:tc>
          <w:tcPr>
            <w:tcW w:w="94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FY23</w:t>
            </w:r>
          </w:p>
        </w:tc>
        <w:tc>
          <w:tcPr>
            <w:tcW w:w="8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16.9%</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19.8%</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2.2%</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 </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0.1%</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51,261 </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235,912 </w:t>
            </w:r>
          </w:p>
        </w:tc>
      </w:tr>
      <w:tr w:rsidR="008C71B9" w:rsidRPr="008C71B9" w:rsidTr="008C71B9">
        <w:trPr>
          <w:trHeight w:val="276"/>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1QFY24</w:t>
            </w:r>
          </w:p>
        </w:tc>
        <w:tc>
          <w:tcPr>
            <w:tcW w:w="8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5.3%</w:t>
            </w:r>
          </w:p>
        </w:tc>
        <w:tc>
          <w:tcPr>
            <w:tcW w:w="10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5.9%</w:t>
            </w:r>
          </w:p>
        </w:tc>
        <w:tc>
          <w:tcPr>
            <w:tcW w:w="11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w:t>
            </w:r>
          </w:p>
        </w:tc>
        <w:tc>
          <w:tcPr>
            <w:tcW w:w="10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w:t>
            </w:r>
          </w:p>
        </w:tc>
        <w:tc>
          <w:tcPr>
            <w:tcW w:w="112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 </w:t>
            </w:r>
          </w:p>
        </w:tc>
        <w:tc>
          <w:tcPr>
            <w:tcW w:w="10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0.4%</w:t>
            </w:r>
          </w:p>
        </w:tc>
        <w:tc>
          <w:tcPr>
            <w:tcW w:w="10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55,401 </w:t>
            </w:r>
          </w:p>
        </w:tc>
        <w:tc>
          <w:tcPr>
            <w:tcW w:w="90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239,785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w:t>
      </w:r>
      <w:proofErr w:type="spellStart"/>
      <w:r w:rsidRPr="00123767">
        <w:rPr>
          <w:color w:val="000000" w:themeColor="text1"/>
          <w:sz w:val="20"/>
          <w:szCs w:val="20"/>
        </w:rPr>
        <w:t>i</w:t>
      </w:r>
      <w:proofErr w:type="spellEnd"/>
      <w:r w:rsidRPr="00123767">
        <w:rPr>
          <w:color w:val="000000" w:themeColor="text1"/>
          <w:sz w:val="20"/>
          <w:szCs w:val="20"/>
        </w:rPr>
        <w:t>)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 xml:space="preserve">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w:t>
      </w:r>
      <w:r w:rsidRPr="00123767">
        <w:rPr>
          <w:sz w:val="20"/>
          <w:szCs w:val="20"/>
        </w:rPr>
        <w:lastRenderedPageBreak/>
        <w:t>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C46318" w:rsidRPr="00123767" w:rsidRDefault="00C46318" w:rsidP="00C46318">
      <w:pPr>
        <w:jc w:val="both"/>
        <w:rPr>
          <w:b/>
          <w:color w:val="000000" w:themeColor="text1"/>
          <w:sz w:val="20"/>
          <w:szCs w:val="20"/>
        </w:rPr>
      </w:pPr>
      <w:r w:rsidRPr="00123767">
        <w:rPr>
          <w:b/>
          <w:color w:val="000000" w:themeColor="text1"/>
          <w:sz w:val="20"/>
          <w:szCs w:val="20"/>
        </w:rPr>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473"/>
        <w:gridCol w:w="5769"/>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FE7459" w:rsidRDefault="00FE7459" w:rsidP="00C46318">
      <w:pPr>
        <w:jc w:val="both"/>
        <w:rPr>
          <w:b/>
          <w:color w:val="000000" w:themeColor="text1"/>
          <w:sz w:val="20"/>
          <w:szCs w:val="20"/>
        </w:rPr>
      </w:pPr>
    </w:p>
    <w:p w:rsidR="00FE7459" w:rsidRDefault="00FE7459"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t>The three-year annualized standard deviation measures the variability of the composite and the benchmark returns over the preceding 36 months.</w:t>
      </w:r>
    </w:p>
    <w:p w:rsidR="00C46318" w:rsidRPr="00123767" w:rsidRDefault="00C46318" w:rsidP="00C46318">
      <w:pPr>
        <w:jc w:val="both"/>
        <w:rPr>
          <w:b/>
          <w:color w:val="000000" w:themeColor="text1"/>
          <w:sz w:val="20"/>
          <w:szCs w:val="20"/>
        </w:rPr>
      </w:pPr>
      <w:r w:rsidRPr="00123767">
        <w:rPr>
          <w:b/>
          <w:color w:val="000000" w:themeColor="text1"/>
          <w:sz w:val="20"/>
          <w:szCs w:val="20"/>
        </w:rPr>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FE7459" w:rsidRDefault="00FE7459"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713E75"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0868DB" w:rsidRPr="000868DB" w:rsidRDefault="000868DB" w:rsidP="00C46318">
      <w:pPr>
        <w:jc w:val="both"/>
        <w:rPr>
          <w:color w:val="000000" w:themeColor="text1"/>
          <w:sz w:val="20"/>
          <w:szCs w:val="20"/>
        </w:rPr>
      </w:pPr>
    </w:p>
    <w:p w:rsidR="00C46318" w:rsidRDefault="00C31AC8" w:rsidP="00C46318">
      <w:pPr>
        <w:jc w:val="center"/>
        <w:rPr>
          <w:b/>
        </w:rPr>
      </w:pPr>
      <w:r>
        <w:rPr>
          <w:b/>
        </w:rPr>
        <w:lastRenderedPageBreak/>
        <w:t xml:space="preserve">MCB Pakistan </w:t>
      </w:r>
      <w:r w:rsidR="00C46318">
        <w:rPr>
          <w:b/>
        </w:rPr>
        <w:t>Government Securities</w:t>
      </w:r>
      <w:r>
        <w:rPr>
          <w:b/>
        </w:rPr>
        <w:t xml:space="preserve"> Composite</w:t>
      </w:r>
    </w:p>
    <w:tbl>
      <w:tblPr>
        <w:tblW w:w="9780" w:type="dxa"/>
        <w:tblInd w:w="113" w:type="dxa"/>
        <w:tblLook w:val="04A0" w:firstRow="1" w:lastRow="0" w:firstColumn="1" w:lastColumn="0" w:noHBand="0" w:noVBand="1"/>
      </w:tblPr>
      <w:tblGrid>
        <w:gridCol w:w="980"/>
        <w:gridCol w:w="1120"/>
        <w:gridCol w:w="1160"/>
        <w:gridCol w:w="1280"/>
        <w:gridCol w:w="1305"/>
        <w:gridCol w:w="1195"/>
        <w:gridCol w:w="1340"/>
        <w:gridCol w:w="1400"/>
      </w:tblGrid>
      <w:tr w:rsidR="008C71B9" w:rsidRPr="008C71B9" w:rsidTr="008C71B9">
        <w:trPr>
          <w:trHeight w:val="509"/>
        </w:trPr>
        <w:tc>
          <w:tcPr>
            <w:tcW w:w="98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Net Returns</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Benchmark</w:t>
            </w:r>
          </w:p>
        </w:tc>
        <w:tc>
          <w:tcPr>
            <w:tcW w:w="12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Composite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305"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Benchmark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195"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Number of Portfolios</w:t>
            </w:r>
          </w:p>
        </w:tc>
        <w:tc>
          <w:tcPr>
            <w:tcW w:w="13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Composite Assets</w:t>
            </w:r>
          </w:p>
        </w:tc>
        <w:tc>
          <w:tcPr>
            <w:tcW w:w="14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Firm Assets</w:t>
            </w:r>
          </w:p>
        </w:tc>
      </w:tr>
      <w:tr w:rsidR="008C71B9" w:rsidRPr="008C71B9" w:rsidTr="008C71B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2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305"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95"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3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C71B9" w:rsidTr="008C71B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2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305"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95"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3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FY15</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16.6%</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9.2%</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2.3%</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0.4%</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3,193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57,855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FY16</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7.3%</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6.6%</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1.4%</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8,691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62,295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FY17</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5.9%</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6.1%</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1.7%</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0.5%</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1,351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76,298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FY18</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5.1%</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6.4%</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0.2%</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585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82,197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FY19</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7.9%</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10.5%</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630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84,050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FY20</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16.4%</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12.8%</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3.6%</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1,816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117,194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5.7%</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7.5%</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1.3%</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0.7%</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738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163,938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FY22</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9.8%</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11.2%</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1.8%</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610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195,809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FY23</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15.5%</w:t>
            </w:r>
          </w:p>
        </w:tc>
        <w:tc>
          <w:tcPr>
            <w:tcW w:w="11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19.8%</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2.0%</w:t>
            </w:r>
          </w:p>
        </w:tc>
        <w:tc>
          <w:tcPr>
            <w:tcW w:w="130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2.2%</w:t>
            </w:r>
          </w:p>
        </w:tc>
        <w:tc>
          <w:tcPr>
            <w:tcW w:w="1195"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674 </w:t>
            </w:r>
          </w:p>
        </w:tc>
        <w:tc>
          <w:tcPr>
            <w:tcW w:w="14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235,912 </w:t>
            </w:r>
          </w:p>
        </w:tc>
      </w:tr>
      <w:tr w:rsidR="008C71B9" w:rsidRPr="008C71B9" w:rsidTr="008C71B9">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1QFY24</w:t>
            </w:r>
          </w:p>
        </w:tc>
        <w:tc>
          <w:tcPr>
            <w:tcW w:w="112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4.3%</w:t>
            </w:r>
          </w:p>
        </w:tc>
        <w:tc>
          <w:tcPr>
            <w:tcW w:w="11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5.9%</w:t>
            </w:r>
          </w:p>
        </w:tc>
        <w:tc>
          <w:tcPr>
            <w:tcW w:w="12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w:t>
            </w:r>
          </w:p>
        </w:tc>
        <w:tc>
          <w:tcPr>
            <w:tcW w:w="1305"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1.5%</w:t>
            </w:r>
          </w:p>
        </w:tc>
        <w:tc>
          <w:tcPr>
            <w:tcW w:w="1195"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3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3,220 </w:t>
            </w:r>
          </w:p>
        </w:tc>
        <w:tc>
          <w:tcPr>
            <w:tcW w:w="140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239,785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 xml:space="preserve">ompany, registered as a Non-Banking Finance Company </w:t>
      </w:r>
      <w:r w:rsidR="00713E75">
        <w:rPr>
          <w:color w:val="000000" w:themeColor="text1"/>
          <w:sz w:val="20"/>
          <w:szCs w:val="20"/>
        </w:rPr>
        <w:t>s</w:t>
      </w:r>
      <w:r w:rsidRPr="0057106D">
        <w:rPr>
          <w:color w:val="000000" w:themeColor="text1"/>
          <w:sz w:val="20"/>
          <w:szCs w:val="20"/>
        </w:rPr>
        <w:t>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w:t>
      </w:r>
      <w:proofErr w:type="spellStart"/>
      <w:r w:rsidRPr="0057106D">
        <w:rPr>
          <w:color w:val="000000" w:themeColor="text1"/>
          <w:sz w:val="20"/>
          <w:szCs w:val="20"/>
        </w:rPr>
        <w:t>i</w:t>
      </w:r>
      <w:proofErr w:type="spellEnd"/>
      <w:r w:rsidRPr="0057106D">
        <w:rPr>
          <w:color w:val="000000" w:themeColor="text1"/>
          <w:sz w:val="20"/>
          <w:szCs w:val="20"/>
        </w:rPr>
        <w:t>)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w:t>
      </w:r>
      <w:proofErr w:type="spellStart"/>
      <w:r w:rsidRPr="0057106D">
        <w:rPr>
          <w:sz w:val="20"/>
          <w:szCs w:val="20"/>
        </w:rPr>
        <w:t>Sukuks</w:t>
      </w:r>
      <w:proofErr w:type="spellEnd"/>
      <w:r w:rsidRPr="0057106D">
        <w:rPr>
          <w:sz w:val="20"/>
          <w:szCs w:val="20"/>
        </w:rPr>
        <w:t xml:space="preserve"> </w:t>
      </w:r>
      <w:proofErr w:type="spellStart"/>
      <w:r w:rsidRPr="0057106D">
        <w:rPr>
          <w:sz w:val="20"/>
          <w:szCs w:val="20"/>
        </w:rPr>
        <w:t>etc</w:t>
      </w:r>
      <w:proofErr w:type="spellEnd"/>
      <w:r w:rsidRPr="0057106D">
        <w:rPr>
          <w:sz w:val="20"/>
          <w:szCs w:val="20"/>
        </w:rPr>
        <w:t xml:space="preserve">).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Benchmark</w:t>
      </w:r>
    </w:p>
    <w:p w:rsidR="00C46318" w:rsidRDefault="00C46318" w:rsidP="00C46318">
      <w:pPr>
        <w:jc w:val="both"/>
        <w:rPr>
          <w:color w:val="000000" w:themeColor="text1"/>
          <w:sz w:val="20"/>
          <w:szCs w:val="20"/>
        </w:rPr>
      </w:pPr>
      <w:r w:rsidRPr="0057106D">
        <w:rPr>
          <w:color w:val="000000" w:themeColor="text1"/>
          <w:sz w:val="20"/>
          <w:szCs w:val="20"/>
        </w:rPr>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Returns</w:t>
      </w:r>
    </w:p>
    <w:p w:rsidR="00C46318" w:rsidRDefault="00C46318" w:rsidP="00C46318">
      <w:pPr>
        <w:jc w:val="both"/>
        <w:rPr>
          <w:color w:val="000000" w:themeColor="text1"/>
          <w:sz w:val="20"/>
          <w:szCs w:val="20"/>
        </w:rPr>
      </w:pPr>
      <w:r w:rsidRPr="0057106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lastRenderedPageBreak/>
        <w:t>Return from all other sources/instruments are taxable at the rate applicable to a public company.</w:t>
      </w:r>
    </w:p>
    <w:p w:rsidR="00C46318" w:rsidRPr="0057106D" w:rsidRDefault="00C46318" w:rsidP="00C46318">
      <w:pPr>
        <w:jc w:val="both"/>
        <w:rPr>
          <w:b/>
          <w:color w:val="000000" w:themeColor="text1"/>
          <w:sz w:val="20"/>
          <w:szCs w:val="20"/>
        </w:rPr>
      </w:pPr>
      <w:r w:rsidRPr="0057106D">
        <w:rPr>
          <w:b/>
          <w:color w:val="000000" w:themeColor="text1"/>
          <w:sz w:val="20"/>
          <w:szCs w:val="20"/>
        </w:rPr>
        <w:t xml:space="preserve">Liability for Income Tax, if ninety per cent (90%) of the Fund’s income </w:t>
      </w:r>
      <w:proofErr w:type="gramStart"/>
      <w:r w:rsidRPr="0057106D">
        <w:rPr>
          <w:b/>
          <w:color w:val="000000" w:themeColor="text1"/>
          <w:sz w:val="20"/>
          <w:szCs w:val="20"/>
        </w:rPr>
        <w:t>is paid</w:t>
      </w:r>
      <w:proofErr w:type="gramEnd"/>
      <w:r w:rsidRPr="0057106D">
        <w:rPr>
          <w:b/>
          <w:color w:val="000000" w:themeColor="text1"/>
          <w:sz w:val="20"/>
          <w:szCs w:val="20"/>
        </w:rPr>
        <w:t xml:space="preserve">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0868DB" w:rsidRDefault="00C46318" w:rsidP="000868DB">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rPr>
          <w:b/>
        </w:rPr>
      </w:pPr>
    </w:p>
    <w:p w:rsidR="00FE7459" w:rsidRDefault="00FE7459" w:rsidP="00C31AC8">
      <w:pPr>
        <w:jc w:val="center"/>
        <w:rPr>
          <w:b/>
        </w:rPr>
      </w:pPr>
    </w:p>
    <w:p w:rsidR="00FE7459" w:rsidRDefault="00FE7459" w:rsidP="00C31AC8">
      <w:pPr>
        <w:jc w:val="center"/>
        <w:rPr>
          <w:b/>
        </w:rPr>
      </w:pPr>
    </w:p>
    <w:p w:rsidR="00FE7459" w:rsidRDefault="00FE7459" w:rsidP="00C31AC8">
      <w:pPr>
        <w:jc w:val="center"/>
        <w:rPr>
          <w:b/>
        </w:rPr>
      </w:pPr>
    </w:p>
    <w:p w:rsidR="00FE7459" w:rsidRDefault="00FE7459" w:rsidP="00C31AC8">
      <w:pPr>
        <w:jc w:val="center"/>
        <w:rPr>
          <w:b/>
        </w:rPr>
      </w:pPr>
    </w:p>
    <w:p w:rsidR="00FE7459" w:rsidRDefault="00FE7459" w:rsidP="00C31AC8">
      <w:pPr>
        <w:jc w:val="center"/>
        <w:rPr>
          <w:b/>
        </w:rPr>
      </w:pPr>
    </w:p>
    <w:p w:rsidR="00FE7459" w:rsidRDefault="00FE7459" w:rsidP="00C31AC8">
      <w:pPr>
        <w:jc w:val="center"/>
        <w:rPr>
          <w:b/>
        </w:rPr>
      </w:pPr>
    </w:p>
    <w:p w:rsidR="00C31AC8" w:rsidRDefault="00C31AC8" w:rsidP="00C31AC8">
      <w:pPr>
        <w:jc w:val="center"/>
        <w:rPr>
          <w:b/>
        </w:rPr>
      </w:pPr>
      <w:r>
        <w:rPr>
          <w:b/>
        </w:rPr>
        <w:lastRenderedPageBreak/>
        <w:t>MCB Pakistan Aggressive Fixed Income Composite</w:t>
      </w:r>
    </w:p>
    <w:tbl>
      <w:tblPr>
        <w:tblW w:w="8920" w:type="dxa"/>
        <w:tblInd w:w="113" w:type="dxa"/>
        <w:tblLook w:val="04A0" w:firstRow="1" w:lastRow="0" w:firstColumn="1" w:lastColumn="0" w:noHBand="0" w:noVBand="1"/>
      </w:tblPr>
      <w:tblGrid>
        <w:gridCol w:w="980"/>
        <w:gridCol w:w="1060"/>
        <w:gridCol w:w="1062"/>
        <w:gridCol w:w="1360"/>
        <w:gridCol w:w="1400"/>
        <w:gridCol w:w="1080"/>
        <w:gridCol w:w="1080"/>
        <w:gridCol w:w="900"/>
      </w:tblGrid>
      <w:tr w:rsidR="008C71B9" w:rsidRPr="008C71B9" w:rsidTr="008C71B9">
        <w:trPr>
          <w:trHeight w:val="509"/>
        </w:trPr>
        <w:tc>
          <w:tcPr>
            <w:tcW w:w="98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Year</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Net Returns</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Benchmark</w:t>
            </w:r>
          </w:p>
        </w:tc>
        <w:tc>
          <w:tcPr>
            <w:tcW w:w="13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Composite 3 Yr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Composite Assets</w:t>
            </w:r>
          </w:p>
        </w:tc>
        <w:tc>
          <w:tcPr>
            <w:tcW w:w="9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Firm Assets</w:t>
            </w:r>
          </w:p>
        </w:tc>
      </w:tr>
      <w:tr w:rsidR="008C71B9" w:rsidRPr="008C71B9" w:rsidTr="008C71B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3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40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90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r>
      <w:tr w:rsidR="008C71B9" w:rsidRPr="008C71B9" w:rsidTr="008C71B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3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40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90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FY15</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13.6%</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9.2%</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2.8%</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969</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57,855</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FY16</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8.4%</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6.6%</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1.7%</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0.7%</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2,463</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62,295</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FY17</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5.1%</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6.1%</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1.4%</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1,688</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76,298</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FY18</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5.2%</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6.4%</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0.6%</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0.2%</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1,350</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82,197</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FY19</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7.8%</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11.3%</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1.2%</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698</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84,050</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FY20</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14.4%</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13.1%</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2.9%</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1.3%</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707</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117,194</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FY21</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7.3%</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8.1%</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1.4%</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0.7%</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630</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163,938</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FY22</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10.4%</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11.9%</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0.8%</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870</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195,809</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FY23</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17.2%</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20.5%</w:t>
            </w:r>
          </w:p>
        </w:tc>
        <w:tc>
          <w:tcPr>
            <w:tcW w:w="13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1.7%</w:t>
            </w:r>
          </w:p>
        </w:tc>
        <w:tc>
          <w:tcPr>
            <w:tcW w:w="140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2.3%</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1,201</w:t>
            </w:r>
          </w:p>
        </w:tc>
        <w:tc>
          <w:tcPr>
            <w:tcW w:w="90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235,912</w:t>
            </w:r>
          </w:p>
        </w:tc>
      </w:tr>
      <w:tr w:rsidR="008C71B9" w:rsidRPr="008C71B9" w:rsidTr="008C71B9">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1QFY24</w:t>
            </w:r>
          </w:p>
        </w:tc>
        <w:tc>
          <w:tcPr>
            <w:tcW w:w="10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4.8%</w:t>
            </w:r>
          </w:p>
        </w:tc>
        <w:tc>
          <w:tcPr>
            <w:tcW w:w="10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6.1%</w:t>
            </w:r>
          </w:p>
        </w:tc>
        <w:tc>
          <w:tcPr>
            <w:tcW w:w="13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w:t>
            </w:r>
          </w:p>
        </w:tc>
        <w:tc>
          <w:tcPr>
            <w:tcW w:w="140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w:t>
            </w:r>
          </w:p>
        </w:tc>
        <w:tc>
          <w:tcPr>
            <w:tcW w:w="10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1,067</w:t>
            </w:r>
          </w:p>
        </w:tc>
        <w:tc>
          <w:tcPr>
            <w:tcW w:w="90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239,785</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w:t>
      </w:r>
      <w:proofErr w:type="spellStart"/>
      <w:r w:rsidRPr="00C70694">
        <w:rPr>
          <w:color w:val="000000" w:themeColor="text1"/>
          <w:sz w:val="20"/>
          <w:szCs w:val="20"/>
        </w:rPr>
        <w:t>i</w:t>
      </w:r>
      <w:proofErr w:type="spellEnd"/>
      <w:r w:rsidRPr="00C70694">
        <w:rPr>
          <w:color w:val="000000" w:themeColor="text1"/>
          <w:sz w:val="20"/>
          <w:szCs w:val="20"/>
        </w:rPr>
        <w:t>)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Aggressive Fixed Income Composite will pursue maximum total return by investing in various income-producing securities. Total return is expected to arrive from a combination of income and capital appreciation. No Minimum 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Benchmark</w:t>
      </w:r>
    </w:p>
    <w:p w:rsidR="00272E55" w:rsidRDefault="00C31AC8" w:rsidP="00C31AC8">
      <w:pPr>
        <w:jc w:val="both"/>
        <w:rPr>
          <w:color w:val="000000" w:themeColor="text1"/>
          <w:sz w:val="20"/>
          <w:szCs w:val="20"/>
        </w:rPr>
      </w:pPr>
      <w:r w:rsidRPr="00C70694">
        <w:rPr>
          <w:color w:val="000000" w:themeColor="text1"/>
          <w:sz w:val="20"/>
          <w:szCs w:val="20"/>
        </w:rPr>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Returns</w:t>
      </w:r>
    </w:p>
    <w:p w:rsidR="00C31AC8" w:rsidRDefault="00C31AC8" w:rsidP="00C31AC8">
      <w:pPr>
        <w:jc w:val="both"/>
        <w:rPr>
          <w:color w:val="000000" w:themeColor="text1"/>
          <w:sz w:val="20"/>
          <w:szCs w:val="20"/>
        </w:rPr>
      </w:pPr>
      <w:r w:rsidRPr="00C70694">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lastRenderedPageBreak/>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Default="00C31AC8" w:rsidP="000868DB">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0868DB" w:rsidRPr="000868DB" w:rsidRDefault="000868DB" w:rsidP="000868DB">
      <w:pPr>
        <w:jc w:val="both"/>
        <w:rPr>
          <w:color w:val="000000" w:themeColor="text1"/>
          <w:sz w:val="20"/>
          <w:szCs w:val="20"/>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Islamic Income</w:t>
      </w:r>
      <w:r w:rsidRPr="00C31AC8">
        <w:rPr>
          <w:b/>
        </w:rPr>
        <w:t xml:space="preserve"> Composite</w:t>
      </w:r>
    </w:p>
    <w:tbl>
      <w:tblPr>
        <w:tblW w:w="9480" w:type="dxa"/>
        <w:tblInd w:w="113" w:type="dxa"/>
        <w:tblLook w:val="04A0" w:firstRow="1" w:lastRow="0" w:firstColumn="1" w:lastColumn="0" w:noHBand="0" w:noVBand="1"/>
      </w:tblPr>
      <w:tblGrid>
        <w:gridCol w:w="980"/>
        <w:gridCol w:w="1140"/>
        <w:gridCol w:w="1062"/>
        <w:gridCol w:w="1440"/>
        <w:gridCol w:w="1440"/>
        <w:gridCol w:w="1220"/>
        <w:gridCol w:w="1180"/>
        <w:gridCol w:w="1040"/>
      </w:tblGrid>
      <w:tr w:rsidR="008C71B9" w:rsidRPr="008C71B9" w:rsidTr="008C71B9">
        <w:trPr>
          <w:trHeight w:val="509"/>
        </w:trPr>
        <w:tc>
          <w:tcPr>
            <w:tcW w:w="98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Year</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Net Returns</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Benchmark</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Composite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 xml:space="preserve">Benchmark 3 </w:t>
            </w:r>
            <w:proofErr w:type="spellStart"/>
            <w:r w:rsidRPr="008C71B9">
              <w:rPr>
                <w:rFonts w:ascii="Calibri" w:eastAsia="Times New Roman" w:hAnsi="Calibri" w:cs="Calibri"/>
                <w:b/>
                <w:bCs/>
                <w:color w:val="000000"/>
                <w:sz w:val="18"/>
                <w:szCs w:val="18"/>
              </w:rPr>
              <w:t>Yr</w:t>
            </w:r>
            <w:proofErr w:type="spellEnd"/>
            <w:r w:rsidRPr="008C71B9">
              <w:rPr>
                <w:rFonts w:ascii="Calibri" w:eastAsia="Times New Roman" w:hAnsi="Calibri" w:cs="Calibri"/>
                <w:b/>
                <w:bCs/>
                <w:color w:val="000000"/>
                <w:sz w:val="18"/>
                <w:szCs w:val="18"/>
              </w:rPr>
              <w:t xml:space="preserve"> Standard Deviation</w:t>
            </w:r>
          </w:p>
        </w:tc>
        <w:tc>
          <w:tcPr>
            <w:tcW w:w="122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Number of Portfolios</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Composite Assets</w:t>
            </w:r>
          </w:p>
        </w:tc>
        <w:tc>
          <w:tcPr>
            <w:tcW w:w="104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Firm Assets</w:t>
            </w:r>
          </w:p>
        </w:tc>
      </w:tr>
      <w:tr w:rsidR="008C71B9" w:rsidRPr="008C71B9" w:rsidTr="008C71B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2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C71B9" w:rsidTr="008C71B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2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rPr>
            </w:pP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FY15</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6.4%</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7.3%</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0.1%</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1,467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57,855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FY16</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4.8%</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5.2%</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0.5%</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1,204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62,295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FY17</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6.0%</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3.1%</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1,585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76,298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FY18</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4.6%</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2.5%</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0.3%</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0.5%</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2,391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82,197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FY19</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6.6%</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3.8%</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0.4%</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0.3%</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2,917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84,050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FY20</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7.3%</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6.6%</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0.6%</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7,709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117,194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FY21</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4.8%</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3.6%</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0.4%</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0.3%</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8,395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163,938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FY22</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6.4%</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3.4%</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0.3%</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0.4%</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13,185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195,809 </w:t>
            </w:r>
          </w:p>
        </w:tc>
      </w:tr>
      <w:tr w:rsidR="008C71B9" w:rsidRPr="008C71B9" w:rsidTr="008C71B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FY23</w:t>
            </w:r>
          </w:p>
        </w:tc>
        <w:tc>
          <w:tcPr>
            <w:tcW w:w="11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9.7%</w:t>
            </w:r>
          </w:p>
        </w:tc>
        <w:tc>
          <w:tcPr>
            <w:tcW w:w="10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6.2%</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1.0%</w:t>
            </w:r>
          </w:p>
        </w:tc>
        <w:tc>
          <w:tcPr>
            <w:tcW w:w="14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0.6%</w:t>
            </w:r>
          </w:p>
        </w:tc>
        <w:tc>
          <w:tcPr>
            <w:tcW w:w="12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8,364 </w:t>
            </w:r>
          </w:p>
        </w:tc>
        <w:tc>
          <w:tcPr>
            <w:tcW w:w="104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235,912 </w:t>
            </w:r>
          </w:p>
        </w:tc>
      </w:tr>
      <w:tr w:rsidR="008C71B9" w:rsidRPr="008C71B9" w:rsidTr="008C71B9">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rPr>
            </w:pPr>
            <w:r w:rsidRPr="008C71B9">
              <w:rPr>
                <w:rFonts w:ascii="Calibri" w:eastAsia="Times New Roman" w:hAnsi="Calibri" w:cs="Calibri"/>
                <w:b/>
                <w:bCs/>
                <w:color w:val="000000"/>
                <w:sz w:val="18"/>
                <w:szCs w:val="18"/>
              </w:rPr>
              <w:t>1QFY24</w:t>
            </w:r>
          </w:p>
        </w:tc>
        <w:tc>
          <w:tcPr>
            <w:tcW w:w="11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3.1%</w:t>
            </w:r>
          </w:p>
        </w:tc>
        <w:tc>
          <w:tcPr>
            <w:tcW w:w="10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1.9%</w:t>
            </w:r>
          </w:p>
        </w:tc>
        <w:tc>
          <w:tcPr>
            <w:tcW w:w="14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0.8%</w:t>
            </w:r>
          </w:p>
        </w:tc>
        <w:tc>
          <w:tcPr>
            <w:tcW w:w="14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0.5%</w:t>
            </w:r>
          </w:p>
        </w:tc>
        <w:tc>
          <w:tcPr>
            <w:tcW w:w="122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&lt;5</w:t>
            </w:r>
          </w:p>
        </w:tc>
        <w:tc>
          <w:tcPr>
            <w:tcW w:w="11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7,544 </w:t>
            </w:r>
          </w:p>
        </w:tc>
        <w:tc>
          <w:tcPr>
            <w:tcW w:w="104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rPr>
            </w:pPr>
            <w:r w:rsidRPr="008C71B9">
              <w:rPr>
                <w:rFonts w:ascii="Calibri" w:eastAsia="Times New Roman" w:hAnsi="Calibri" w:cs="Calibri"/>
                <w:color w:val="000000"/>
                <w:sz w:val="18"/>
                <w:szCs w:val="18"/>
              </w:rPr>
              <w:t xml:space="preserve">239,785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w:t>
      </w:r>
      <w:proofErr w:type="spellStart"/>
      <w:r w:rsidRPr="00CB2608">
        <w:rPr>
          <w:color w:val="000000" w:themeColor="text1"/>
          <w:sz w:val="20"/>
          <w:szCs w:val="20"/>
        </w:rPr>
        <w:t>i</w:t>
      </w:r>
      <w:proofErr w:type="spellEnd"/>
      <w:r w:rsidRPr="00CB2608">
        <w:rPr>
          <w:color w:val="000000" w:themeColor="text1"/>
          <w:sz w:val="20"/>
          <w:szCs w:val="20"/>
        </w:rPr>
        <w:t>)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 xml:space="preserve">Fixed Income Composite will pursue total return by investing in various income-producing securities. Total return is expected to arrive from a combination of income and capital appreciation, with income portion being the dominant portion of total return. The securities and investments in the portfolios of this composite shall be first deemed approved by the Shariah Supervisory Board of the firm. The composite currently comprises of </w:t>
      </w:r>
      <w:proofErr w:type="spellStart"/>
      <w:r w:rsidRPr="00CB2608">
        <w:rPr>
          <w:sz w:val="20"/>
          <w:szCs w:val="20"/>
        </w:rPr>
        <w:t>Alhamra</w:t>
      </w:r>
      <w:proofErr w:type="spellEnd"/>
      <w:r w:rsidRPr="00CB2608">
        <w:rPr>
          <w:sz w:val="20"/>
          <w:szCs w:val="20"/>
        </w:rPr>
        <w:t xml:space="preserve"> Islamic </w:t>
      </w:r>
      <w:r w:rsidRPr="00CB2608">
        <w:rPr>
          <w:sz w:val="20"/>
          <w:szCs w:val="20"/>
        </w:rPr>
        <w:lastRenderedPageBreak/>
        <w:t>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C46318" w:rsidRPr="00CB2608" w:rsidRDefault="00C46318" w:rsidP="00C46318">
      <w:pPr>
        <w:jc w:val="both"/>
        <w:rPr>
          <w:b/>
          <w:color w:val="000000" w:themeColor="text1"/>
          <w:sz w:val="20"/>
          <w:szCs w:val="20"/>
        </w:rPr>
      </w:pPr>
      <w:r w:rsidRPr="00CB2608">
        <w:rPr>
          <w:b/>
          <w:color w:val="000000" w:themeColor="text1"/>
          <w:sz w:val="20"/>
          <w:szCs w:val="20"/>
        </w:rPr>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 xml:space="preserve">The Benchmark of the Composite is Six (6) months average deposits rates of three (3) A </w:t>
      </w:r>
      <w:proofErr w:type="gramStart"/>
      <w:r w:rsidRPr="00CB2608">
        <w:rPr>
          <w:color w:val="000000" w:themeColor="text1"/>
          <w:sz w:val="20"/>
          <w:szCs w:val="20"/>
        </w:rPr>
        <w:t>rated  Scheduled</w:t>
      </w:r>
      <w:proofErr w:type="gramEnd"/>
      <w:r w:rsidRPr="00CB2608">
        <w:rPr>
          <w:color w:val="000000" w:themeColor="text1"/>
          <w:sz w:val="20"/>
          <w:szCs w:val="20"/>
        </w:rPr>
        <w:t xml:space="preserve">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proofErr w:type="spellStart"/>
            <w:r w:rsidRPr="00CB2608">
              <w:rPr>
                <w:sz w:val="20"/>
                <w:szCs w:val="20"/>
              </w:rPr>
              <w:t>Alhamra</w:t>
            </w:r>
            <w:proofErr w:type="spellEnd"/>
            <w:r w:rsidRPr="00CB2608">
              <w:rPr>
                <w:sz w:val="20"/>
                <w:szCs w:val="20"/>
              </w:rPr>
              <w:t xml:space="preserve">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CB2608">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0868DB" w:rsidRDefault="00C46318" w:rsidP="00C46318">
      <w:pPr>
        <w:jc w:val="both"/>
        <w:rPr>
          <w:color w:val="000000" w:themeColor="text1"/>
          <w:sz w:val="20"/>
          <w:szCs w:val="20"/>
        </w:rPr>
      </w:pPr>
      <w:r w:rsidRPr="00CB2608">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C46318" w:rsidRDefault="00C31AC8" w:rsidP="00C46318">
      <w:pPr>
        <w:jc w:val="center"/>
        <w:rPr>
          <w:b/>
        </w:rPr>
      </w:pPr>
      <w:r w:rsidRPr="00C31AC8">
        <w:rPr>
          <w:b/>
        </w:rPr>
        <w:lastRenderedPageBreak/>
        <w:t xml:space="preserve">MCB Pakistan </w:t>
      </w:r>
      <w:r w:rsidR="00C46318" w:rsidRPr="00C31AC8">
        <w:rPr>
          <w:b/>
        </w:rPr>
        <w:t>Conservative Asset Allocation</w:t>
      </w:r>
      <w:r w:rsidRPr="00C31AC8">
        <w:rPr>
          <w:b/>
        </w:rPr>
        <w:t xml:space="preserve"> Composite</w:t>
      </w:r>
    </w:p>
    <w:tbl>
      <w:tblPr>
        <w:tblW w:w="10102" w:type="dxa"/>
        <w:tblInd w:w="113" w:type="dxa"/>
        <w:tblLook w:val="04A0" w:firstRow="1" w:lastRow="0" w:firstColumn="1" w:lastColumn="0" w:noHBand="0" w:noVBand="1"/>
      </w:tblPr>
      <w:tblGrid>
        <w:gridCol w:w="920"/>
        <w:gridCol w:w="1120"/>
        <w:gridCol w:w="1062"/>
        <w:gridCol w:w="1280"/>
        <w:gridCol w:w="1240"/>
        <w:gridCol w:w="1180"/>
        <w:gridCol w:w="1080"/>
        <w:gridCol w:w="1060"/>
        <w:gridCol w:w="1160"/>
      </w:tblGrid>
      <w:tr w:rsidR="008C71B9" w:rsidRPr="008C71B9" w:rsidTr="008C71B9">
        <w:trPr>
          <w:trHeight w:val="509"/>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Benchmark</w:t>
            </w:r>
          </w:p>
        </w:tc>
        <w:tc>
          <w:tcPr>
            <w:tcW w:w="12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Composite 3 Yr Standard Deviation</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Benchmark 3 Yr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Internal Dispersion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Composite Assets</w:t>
            </w:r>
          </w:p>
        </w:tc>
        <w:tc>
          <w:tcPr>
            <w:tcW w:w="116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Firm Assets</w:t>
            </w:r>
          </w:p>
        </w:tc>
      </w:tr>
      <w:tr w:rsidR="008C71B9" w:rsidRPr="008C71B9" w:rsidTr="008C71B9">
        <w:trPr>
          <w:trHeight w:val="509"/>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1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62"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2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2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1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16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r>
      <w:tr w:rsidR="008C71B9" w:rsidRPr="008C71B9" w:rsidTr="008C71B9">
        <w:trPr>
          <w:trHeight w:val="509"/>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12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62"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2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24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1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c>
          <w:tcPr>
            <w:tcW w:w="116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8C71B9">
            <w:pPr>
              <w:spacing w:after="0" w:line="240" w:lineRule="auto"/>
              <w:rPr>
                <w:rFonts w:ascii="Calibri" w:eastAsia="Times New Roman" w:hAnsi="Calibri" w:cs="Calibri"/>
                <w:b/>
                <w:bCs/>
                <w:color w:val="000000"/>
                <w:sz w:val="18"/>
                <w:szCs w:val="18"/>
                <w:lang/>
              </w:rPr>
            </w:pP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FY15</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20.6%</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10.9%</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4.8%</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4.0%</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3.2%</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8,554</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57,855</w:t>
            </w: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FY16</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6.3%</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7.5%</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3.4%</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3.5%</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1.8%</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5,843</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62,295</w:t>
            </w: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FY17</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8.8%</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9.6%</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4.1%</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3.2%</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4.2%</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5,875</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76,298</w:t>
            </w: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FY18</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3.3%</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6.8%</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3.7%</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0.3%</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5,648</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82,197</w:t>
            </w: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FY19</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-5.3%</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4.4%</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8.9%</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3.1%</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4,955</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84,050</w:t>
            </w: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FY20</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6.5%</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11.6%</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17.4%</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7.2%</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0.5%</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7,827</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117,194</w:t>
            </w: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FY21</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19.5%</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13.5%</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8.4%</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4.4%</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8.6%</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7,630</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163,938</w:t>
            </w: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FY22</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-0.5%</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6.4%</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5.4%</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2.0%</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6.0%</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6,669</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195,809</w:t>
            </w:r>
          </w:p>
        </w:tc>
      </w:tr>
      <w:tr w:rsidR="008C71B9" w:rsidRPr="008C71B9" w:rsidTr="008C71B9">
        <w:trPr>
          <w:trHeight w:val="276"/>
        </w:trPr>
        <w:tc>
          <w:tcPr>
            <w:tcW w:w="92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FY23</w:t>
            </w:r>
          </w:p>
        </w:tc>
        <w:tc>
          <w:tcPr>
            <w:tcW w:w="112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7.1%</w:t>
            </w:r>
          </w:p>
        </w:tc>
        <w:tc>
          <w:tcPr>
            <w:tcW w:w="1062"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15.7%</w:t>
            </w:r>
          </w:p>
        </w:tc>
        <w:tc>
          <w:tcPr>
            <w:tcW w:w="12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4.1%</w:t>
            </w:r>
          </w:p>
        </w:tc>
        <w:tc>
          <w:tcPr>
            <w:tcW w:w="124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2.4%</w:t>
            </w:r>
          </w:p>
        </w:tc>
        <w:tc>
          <w:tcPr>
            <w:tcW w:w="11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w:t>
            </w:r>
          </w:p>
        </w:tc>
        <w:tc>
          <w:tcPr>
            <w:tcW w:w="108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6.4%</w:t>
            </w:r>
          </w:p>
        </w:tc>
        <w:tc>
          <w:tcPr>
            <w:tcW w:w="1060" w:type="dxa"/>
            <w:tcBorders>
              <w:top w:val="nil"/>
              <w:left w:val="nil"/>
              <w:bottom w:val="nil"/>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6,229</w:t>
            </w:r>
          </w:p>
        </w:tc>
        <w:tc>
          <w:tcPr>
            <w:tcW w:w="1160" w:type="dxa"/>
            <w:tcBorders>
              <w:top w:val="nil"/>
              <w:left w:val="nil"/>
              <w:bottom w:val="nil"/>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235,912</w:t>
            </w:r>
          </w:p>
        </w:tc>
      </w:tr>
      <w:tr w:rsidR="008C71B9" w:rsidRPr="008C71B9" w:rsidTr="008C71B9">
        <w:trPr>
          <w:trHeight w:val="276"/>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1QFY24</w:t>
            </w:r>
          </w:p>
        </w:tc>
        <w:tc>
          <w:tcPr>
            <w:tcW w:w="112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6.9%</w:t>
            </w:r>
          </w:p>
        </w:tc>
        <w:tc>
          <w:tcPr>
            <w:tcW w:w="1062"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7.3%</w:t>
            </w:r>
          </w:p>
        </w:tc>
        <w:tc>
          <w:tcPr>
            <w:tcW w:w="12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7.5%</w:t>
            </w:r>
          </w:p>
        </w:tc>
        <w:tc>
          <w:tcPr>
            <w:tcW w:w="124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3.9%</w:t>
            </w:r>
          </w:p>
        </w:tc>
        <w:tc>
          <w:tcPr>
            <w:tcW w:w="11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w:t>
            </w:r>
          </w:p>
        </w:tc>
        <w:tc>
          <w:tcPr>
            <w:tcW w:w="108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9.4%</w:t>
            </w:r>
          </w:p>
        </w:tc>
        <w:tc>
          <w:tcPr>
            <w:tcW w:w="1060" w:type="dxa"/>
            <w:tcBorders>
              <w:top w:val="nil"/>
              <w:left w:val="nil"/>
              <w:bottom w:val="single" w:sz="4" w:space="0" w:color="auto"/>
              <w:right w:val="nil"/>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6,579</w:t>
            </w:r>
          </w:p>
        </w:tc>
        <w:tc>
          <w:tcPr>
            <w:tcW w:w="116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8C71B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239,785</w:t>
            </w:r>
          </w:p>
        </w:tc>
      </w:tr>
    </w:tbl>
    <w:p w:rsidR="00202E24" w:rsidRDefault="00202E24"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w:t>
      </w:r>
      <w:proofErr w:type="spellStart"/>
      <w:r w:rsidRPr="00E944ED">
        <w:rPr>
          <w:color w:val="000000" w:themeColor="text1"/>
          <w:sz w:val="20"/>
          <w:szCs w:val="20"/>
        </w:rPr>
        <w:t>i</w:t>
      </w:r>
      <w:proofErr w:type="spellEnd"/>
      <w:r w:rsidRPr="00E944ED">
        <w:rPr>
          <w:color w:val="000000" w:themeColor="text1"/>
          <w:sz w:val="20"/>
          <w:szCs w:val="20"/>
        </w:rPr>
        <w:t>)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Composite Description</w:t>
      </w:r>
    </w:p>
    <w:p w:rsidR="00C46318" w:rsidRDefault="00C46318" w:rsidP="00C46318">
      <w:pPr>
        <w:jc w:val="both"/>
        <w:rPr>
          <w:sz w:val="20"/>
          <w:szCs w:val="20"/>
        </w:rPr>
      </w:pPr>
      <w:r w:rsidRPr="00E944ED">
        <w:rPr>
          <w:sz w:val="20"/>
          <w:szCs w:val="20"/>
        </w:rPr>
        <w:t xml:space="preserve">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w:t>
      </w:r>
      <w:r w:rsidRPr="00E944ED">
        <w:rPr>
          <w:sz w:val="20"/>
          <w:szCs w:val="20"/>
        </w:rPr>
        <w:lastRenderedPageBreak/>
        <w:t>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C46318" w:rsidRPr="00E944ED" w:rsidRDefault="00C46318" w:rsidP="00C46318">
      <w:pPr>
        <w:jc w:val="both"/>
        <w:rPr>
          <w:b/>
          <w:color w:val="000000" w:themeColor="text1"/>
          <w:sz w:val="20"/>
          <w:szCs w:val="20"/>
        </w:rPr>
      </w:pPr>
      <w:r w:rsidRPr="00E944ED">
        <w:rPr>
          <w:b/>
          <w:color w:val="000000" w:themeColor="text1"/>
          <w:sz w:val="20"/>
          <w:szCs w:val="20"/>
        </w:rPr>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0868DB" w:rsidRDefault="00C46318" w:rsidP="00C46318">
      <w:pPr>
        <w:jc w:val="both"/>
        <w:rPr>
          <w:color w:val="000000" w:themeColor="text1"/>
          <w:sz w:val="20"/>
          <w:szCs w:val="20"/>
        </w:rPr>
      </w:pPr>
      <w:r w:rsidRPr="00E944E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E944ED" w:rsidRDefault="00C46318" w:rsidP="00C46318">
      <w:pPr>
        <w:jc w:val="both"/>
        <w:rPr>
          <w:sz w:val="20"/>
          <w:szCs w:val="20"/>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Asset Allocation</w:t>
      </w:r>
      <w:r w:rsidRPr="00C31AC8">
        <w:rPr>
          <w:b/>
        </w:rPr>
        <w:t xml:space="preserve"> Composite</w:t>
      </w:r>
    </w:p>
    <w:tbl>
      <w:tblPr>
        <w:tblW w:w="9897" w:type="dxa"/>
        <w:tblInd w:w="113" w:type="dxa"/>
        <w:tblLook w:val="04A0" w:firstRow="1" w:lastRow="0" w:firstColumn="1" w:lastColumn="0" w:noHBand="0" w:noVBand="1"/>
      </w:tblPr>
      <w:tblGrid>
        <w:gridCol w:w="980"/>
        <w:gridCol w:w="1000"/>
        <w:gridCol w:w="1140"/>
        <w:gridCol w:w="1440"/>
        <w:gridCol w:w="1440"/>
        <w:gridCol w:w="1440"/>
        <w:gridCol w:w="1017"/>
        <w:gridCol w:w="1440"/>
      </w:tblGrid>
      <w:tr w:rsidR="008C71B9" w:rsidRPr="008C71B9" w:rsidTr="000868DB">
        <w:trPr>
          <w:trHeight w:val="509"/>
        </w:trPr>
        <w:tc>
          <w:tcPr>
            <w:tcW w:w="98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Year</w:t>
            </w:r>
          </w:p>
        </w:tc>
        <w:tc>
          <w:tcPr>
            <w:tcW w:w="100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Net Returns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Benchmark</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Composite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Benchmark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Number of Portfolios</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Composite Assets</w:t>
            </w:r>
          </w:p>
        </w:tc>
        <w:tc>
          <w:tcPr>
            <w:tcW w:w="144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Firm Assets</w:t>
            </w:r>
          </w:p>
        </w:tc>
      </w:tr>
      <w:tr w:rsidR="008C71B9" w:rsidRPr="008C71B9" w:rsidTr="000868DB">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00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14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017"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r>
      <w:tr w:rsidR="008C71B9" w:rsidRPr="008C71B9" w:rsidTr="000868DB">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00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14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017" w:type="dxa"/>
            <w:vMerge/>
            <w:tcBorders>
              <w:top w:val="single" w:sz="4" w:space="0" w:color="auto"/>
              <w:left w:val="nil"/>
              <w:bottom w:val="single" w:sz="4" w:space="0" w:color="000000"/>
              <w:right w:val="nil"/>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c>
          <w:tcPr>
            <w:tcW w:w="1440" w:type="dxa"/>
            <w:vMerge/>
            <w:tcBorders>
              <w:top w:val="single" w:sz="4" w:space="0" w:color="auto"/>
              <w:left w:val="nil"/>
              <w:bottom w:val="single" w:sz="4" w:space="0" w:color="000000"/>
              <w:right w:val="single" w:sz="4" w:space="0" w:color="auto"/>
            </w:tcBorders>
            <w:vAlign w:val="center"/>
            <w:hideMark/>
          </w:tcPr>
          <w:p w:rsidR="008C71B9" w:rsidRPr="008C71B9" w:rsidRDefault="008C71B9" w:rsidP="007D4B89">
            <w:pPr>
              <w:spacing w:after="0" w:line="240" w:lineRule="auto"/>
              <w:rPr>
                <w:rFonts w:ascii="Calibri" w:eastAsia="Times New Roman" w:hAnsi="Calibri" w:cs="Calibri"/>
                <w:b/>
                <w:bCs/>
                <w:color w:val="000000"/>
                <w:sz w:val="18"/>
                <w:szCs w:val="18"/>
                <w:lang/>
              </w:rPr>
            </w:pP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FY15</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25.4%</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13.1%</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16.2%</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9.7%</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778</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57,855</w:t>
            </w: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FY16</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3.6%</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8.6%</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11.2%</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8.3%</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6,710</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62,295</w:t>
            </w: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FY17</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17.5%</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14.8%</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8.7%</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7.9%</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11,172</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76,298</w:t>
            </w: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FY18</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-2.1%</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-1.7%</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10.1%</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9.3%</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15,345</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82,197</w:t>
            </w: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FY19</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-6.5%</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-4.9%</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10.7%</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8.2%</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15,611</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84,050</w:t>
            </w: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FY20</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7.6%</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8.9%</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23.0%</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18.0%</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16,780</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117,194</w:t>
            </w: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FY21</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21.7%</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22.2%</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10.3%</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9.5%</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20,684</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163,938</w:t>
            </w: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FY22</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-6.8%</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-0.9%</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8.0%</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5.2%</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20,066</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195,809</w:t>
            </w:r>
          </w:p>
        </w:tc>
      </w:tr>
      <w:tr w:rsidR="008C71B9" w:rsidRPr="008C71B9" w:rsidTr="000868DB">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FY23</w:t>
            </w:r>
          </w:p>
        </w:tc>
        <w:tc>
          <w:tcPr>
            <w:tcW w:w="100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4.6%</w:t>
            </w:r>
          </w:p>
        </w:tc>
        <w:tc>
          <w:tcPr>
            <w:tcW w:w="11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9.6%</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7.2%</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4.8%</w:t>
            </w:r>
          </w:p>
        </w:tc>
        <w:tc>
          <w:tcPr>
            <w:tcW w:w="1440"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nil"/>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15,301</w:t>
            </w:r>
          </w:p>
        </w:tc>
        <w:tc>
          <w:tcPr>
            <w:tcW w:w="1440" w:type="dxa"/>
            <w:tcBorders>
              <w:top w:val="nil"/>
              <w:left w:val="nil"/>
              <w:bottom w:val="nil"/>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235,912</w:t>
            </w:r>
          </w:p>
        </w:tc>
      </w:tr>
      <w:tr w:rsidR="008C71B9" w:rsidRPr="008C71B9" w:rsidTr="000868DB">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b/>
                <w:bCs/>
                <w:color w:val="000000"/>
                <w:sz w:val="18"/>
                <w:szCs w:val="18"/>
                <w:lang/>
              </w:rPr>
            </w:pPr>
            <w:r w:rsidRPr="008C71B9">
              <w:rPr>
                <w:rFonts w:ascii="Calibri" w:eastAsia="Times New Roman" w:hAnsi="Calibri" w:cs="Calibri"/>
                <w:b/>
                <w:bCs/>
                <w:color w:val="000000"/>
                <w:sz w:val="18"/>
                <w:szCs w:val="18"/>
                <w:lang/>
              </w:rPr>
              <w:t>1QFY24</w:t>
            </w:r>
          </w:p>
        </w:tc>
        <w:tc>
          <w:tcPr>
            <w:tcW w:w="1000" w:type="dxa"/>
            <w:tcBorders>
              <w:top w:val="nil"/>
              <w:left w:val="nil"/>
              <w:bottom w:val="single" w:sz="4" w:space="0" w:color="auto"/>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7.2%</w:t>
            </w:r>
          </w:p>
        </w:tc>
        <w:tc>
          <w:tcPr>
            <w:tcW w:w="1140" w:type="dxa"/>
            <w:tcBorders>
              <w:top w:val="nil"/>
              <w:left w:val="nil"/>
              <w:bottom w:val="single" w:sz="4" w:space="0" w:color="auto"/>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9.1%</w:t>
            </w:r>
          </w:p>
        </w:tc>
        <w:tc>
          <w:tcPr>
            <w:tcW w:w="1440" w:type="dxa"/>
            <w:tcBorders>
              <w:top w:val="nil"/>
              <w:left w:val="nil"/>
              <w:bottom w:val="single" w:sz="4" w:space="0" w:color="auto"/>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10.3%</w:t>
            </w:r>
          </w:p>
        </w:tc>
        <w:tc>
          <w:tcPr>
            <w:tcW w:w="1440" w:type="dxa"/>
            <w:tcBorders>
              <w:top w:val="nil"/>
              <w:left w:val="nil"/>
              <w:bottom w:val="single" w:sz="4" w:space="0" w:color="auto"/>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8.7%</w:t>
            </w:r>
          </w:p>
        </w:tc>
        <w:tc>
          <w:tcPr>
            <w:tcW w:w="1440" w:type="dxa"/>
            <w:tcBorders>
              <w:top w:val="nil"/>
              <w:left w:val="nil"/>
              <w:bottom w:val="single" w:sz="4" w:space="0" w:color="auto"/>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&lt;5</w:t>
            </w:r>
          </w:p>
        </w:tc>
        <w:tc>
          <w:tcPr>
            <w:tcW w:w="1017" w:type="dxa"/>
            <w:tcBorders>
              <w:top w:val="nil"/>
              <w:left w:val="nil"/>
              <w:bottom w:val="single" w:sz="4" w:space="0" w:color="auto"/>
              <w:right w:val="nil"/>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15,837</w:t>
            </w:r>
          </w:p>
        </w:tc>
        <w:tc>
          <w:tcPr>
            <w:tcW w:w="1440" w:type="dxa"/>
            <w:tcBorders>
              <w:top w:val="nil"/>
              <w:left w:val="nil"/>
              <w:bottom w:val="single" w:sz="4" w:space="0" w:color="auto"/>
              <w:right w:val="single" w:sz="4" w:space="0" w:color="auto"/>
            </w:tcBorders>
            <w:shd w:val="clear" w:color="000000" w:fill="FFFFFF"/>
            <w:noWrap/>
            <w:vAlign w:val="center"/>
            <w:hideMark/>
          </w:tcPr>
          <w:p w:rsidR="008C71B9" w:rsidRPr="008C71B9" w:rsidRDefault="008C71B9" w:rsidP="007D4B89">
            <w:pPr>
              <w:spacing w:after="0" w:line="240" w:lineRule="auto"/>
              <w:jc w:val="center"/>
              <w:rPr>
                <w:rFonts w:ascii="Calibri" w:eastAsia="Times New Roman" w:hAnsi="Calibri" w:cs="Calibri"/>
                <w:color w:val="000000"/>
                <w:sz w:val="18"/>
                <w:szCs w:val="18"/>
                <w:lang/>
              </w:rPr>
            </w:pPr>
            <w:r w:rsidRPr="008C71B9">
              <w:rPr>
                <w:rFonts w:ascii="Calibri" w:eastAsia="Times New Roman" w:hAnsi="Calibri" w:cs="Calibri"/>
                <w:color w:val="000000"/>
                <w:sz w:val="18"/>
                <w:szCs w:val="18"/>
                <w:lang/>
              </w:rPr>
              <w:t>239,785</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w:t>
      </w:r>
      <w:proofErr w:type="spellStart"/>
      <w:r w:rsidRPr="0032745E">
        <w:rPr>
          <w:color w:val="000000" w:themeColor="text1"/>
          <w:sz w:val="20"/>
          <w:szCs w:val="20"/>
        </w:rPr>
        <w:t>i</w:t>
      </w:r>
      <w:proofErr w:type="spellEnd"/>
      <w:r w:rsidRPr="0032745E">
        <w:rPr>
          <w:color w:val="000000" w:themeColor="text1"/>
          <w:sz w:val="20"/>
          <w:szCs w:val="20"/>
        </w:rPr>
        <w:t>)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Benchmark</w:t>
      </w:r>
    </w:p>
    <w:p w:rsidR="00C46318" w:rsidRPr="004A6320" w:rsidRDefault="00C46318" w:rsidP="00C46318">
      <w:pPr>
        <w:jc w:val="both"/>
        <w:rPr>
          <w:color w:val="000000" w:themeColor="text1"/>
          <w:sz w:val="20"/>
          <w:szCs w:val="20"/>
        </w:rPr>
      </w:pPr>
      <w:r w:rsidRPr="0032745E">
        <w:rPr>
          <w:color w:val="000000" w:themeColor="text1"/>
          <w:sz w:val="20"/>
          <w:szCs w:val="20"/>
        </w:rPr>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Returns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lastRenderedPageBreak/>
        <w:t>Return from all other sources/instruments are taxable at the rate applicable to a public company.</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4D3B53" w:rsidRDefault="004D3B53" w:rsidP="000868DB">
      <w:pPr>
        <w:rPr>
          <w:b/>
        </w:rPr>
      </w:pPr>
    </w:p>
    <w:p w:rsidR="004D3B53" w:rsidRDefault="004D3B53"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FE7459" w:rsidRDefault="00FE7459" w:rsidP="00C46318">
      <w:pPr>
        <w:jc w:val="center"/>
        <w:rPr>
          <w:b/>
        </w:rPr>
      </w:pPr>
    </w:p>
    <w:p w:rsidR="00C46318" w:rsidRPr="00D938AC" w:rsidRDefault="00D938AC" w:rsidP="00C46318">
      <w:pPr>
        <w:jc w:val="center"/>
        <w:rPr>
          <w:b/>
        </w:rPr>
      </w:pPr>
      <w:r w:rsidRPr="00D938AC">
        <w:rPr>
          <w:b/>
        </w:rPr>
        <w:lastRenderedPageBreak/>
        <w:t xml:space="preserve">MCB Pakistan Conservative </w:t>
      </w:r>
      <w:r w:rsidR="00C46318" w:rsidRPr="00D938AC">
        <w:rPr>
          <w:b/>
        </w:rPr>
        <w:t>Islamic Asset Allocation</w:t>
      </w:r>
      <w:r w:rsidRPr="00D938AC">
        <w:rPr>
          <w:b/>
        </w:rPr>
        <w:t xml:space="preserve"> Composite</w:t>
      </w:r>
    </w:p>
    <w:tbl>
      <w:tblPr>
        <w:tblW w:w="8740" w:type="dxa"/>
        <w:tblInd w:w="113" w:type="dxa"/>
        <w:tblLook w:val="04A0" w:firstRow="1" w:lastRow="0" w:firstColumn="1" w:lastColumn="0" w:noHBand="0" w:noVBand="1"/>
      </w:tblPr>
      <w:tblGrid>
        <w:gridCol w:w="860"/>
        <w:gridCol w:w="1120"/>
        <w:gridCol w:w="1120"/>
        <w:gridCol w:w="1240"/>
        <w:gridCol w:w="1180"/>
        <w:gridCol w:w="1060"/>
        <w:gridCol w:w="1080"/>
        <w:gridCol w:w="1080"/>
      </w:tblGrid>
      <w:tr w:rsidR="000868DB" w:rsidRPr="000868DB" w:rsidTr="007D4B89">
        <w:trPr>
          <w:trHeight w:val="509"/>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Net Returns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Benchmark</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Composite 3 Yr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Benchmark 3 Yr Standard Deviation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Firm Assets</w:t>
            </w:r>
          </w:p>
        </w:tc>
      </w:tr>
      <w:tr w:rsidR="000868DB" w:rsidRPr="000868DB" w:rsidTr="007D4B89">
        <w:trPr>
          <w:trHeight w:val="509"/>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12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12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24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1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r>
      <w:tr w:rsidR="000868DB" w:rsidRPr="000868DB" w:rsidTr="007D4B89">
        <w:trPr>
          <w:trHeight w:val="509"/>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12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12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24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1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r>
      <w:tr w:rsidR="000868DB" w:rsidRPr="000868DB" w:rsidTr="007D4B8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FY18</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3.5%</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0.2%</w:t>
            </w:r>
          </w:p>
        </w:tc>
        <w:tc>
          <w:tcPr>
            <w:tcW w:w="124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0.3%</w:t>
            </w:r>
          </w:p>
        </w:tc>
        <w:tc>
          <w:tcPr>
            <w:tcW w:w="11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2.8%</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65</w:t>
            </w:r>
          </w:p>
        </w:tc>
        <w:tc>
          <w:tcPr>
            <w:tcW w:w="108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82,197</w:t>
            </w:r>
          </w:p>
        </w:tc>
      </w:tr>
      <w:tr w:rsidR="000868DB" w:rsidRPr="000868DB" w:rsidTr="007D4B8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FY19</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9.2%</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-1.8%</w:t>
            </w:r>
          </w:p>
        </w:tc>
        <w:tc>
          <w:tcPr>
            <w:tcW w:w="124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1.1%</w:t>
            </w:r>
          </w:p>
        </w:tc>
        <w:tc>
          <w:tcPr>
            <w:tcW w:w="11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4.0%</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174</w:t>
            </w:r>
          </w:p>
        </w:tc>
        <w:tc>
          <w:tcPr>
            <w:tcW w:w="108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84,050</w:t>
            </w:r>
          </w:p>
        </w:tc>
      </w:tr>
      <w:tr w:rsidR="000868DB" w:rsidRPr="000868DB" w:rsidTr="007D4B8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FY20</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13.6%</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7.1%</w:t>
            </w:r>
          </w:p>
        </w:tc>
        <w:tc>
          <w:tcPr>
            <w:tcW w:w="124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4.5%</w:t>
            </w:r>
          </w:p>
        </w:tc>
        <w:tc>
          <w:tcPr>
            <w:tcW w:w="11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8.4%</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1,079</w:t>
            </w:r>
          </w:p>
        </w:tc>
        <w:tc>
          <w:tcPr>
            <w:tcW w:w="108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117,194</w:t>
            </w:r>
          </w:p>
        </w:tc>
      </w:tr>
      <w:tr w:rsidR="000868DB" w:rsidRPr="000868DB" w:rsidTr="007D4B8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FY21</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10.5%</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10.3%</w:t>
            </w:r>
          </w:p>
        </w:tc>
        <w:tc>
          <w:tcPr>
            <w:tcW w:w="124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1.9%</w:t>
            </w:r>
          </w:p>
        </w:tc>
        <w:tc>
          <w:tcPr>
            <w:tcW w:w="11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4.3%</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2,826</w:t>
            </w:r>
          </w:p>
        </w:tc>
        <w:tc>
          <w:tcPr>
            <w:tcW w:w="108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163,938</w:t>
            </w:r>
          </w:p>
        </w:tc>
      </w:tr>
      <w:tr w:rsidR="000868DB" w:rsidRPr="000868DB" w:rsidTr="007D4B8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FY22</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7.3%</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0.6%</w:t>
            </w:r>
          </w:p>
        </w:tc>
        <w:tc>
          <w:tcPr>
            <w:tcW w:w="124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1.3%</w:t>
            </w:r>
          </w:p>
        </w:tc>
        <w:tc>
          <w:tcPr>
            <w:tcW w:w="11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2.5%</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4,960</w:t>
            </w:r>
          </w:p>
        </w:tc>
        <w:tc>
          <w:tcPr>
            <w:tcW w:w="108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195,809</w:t>
            </w:r>
          </w:p>
        </w:tc>
      </w:tr>
      <w:tr w:rsidR="000868DB" w:rsidRPr="000868DB" w:rsidTr="007D4B89">
        <w:trPr>
          <w:trHeight w:val="276"/>
        </w:trPr>
        <w:tc>
          <w:tcPr>
            <w:tcW w:w="86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FY23</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14.6%</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5.7%</w:t>
            </w:r>
          </w:p>
        </w:tc>
        <w:tc>
          <w:tcPr>
            <w:tcW w:w="124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1.5%</w:t>
            </w:r>
          </w:p>
        </w:tc>
        <w:tc>
          <w:tcPr>
            <w:tcW w:w="11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2.5%</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&lt;5</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7,358</w:t>
            </w:r>
          </w:p>
        </w:tc>
        <w:tc>
          <w:tcPr>
            <w:tcW w:w="108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235,912</w:t>
            </w:r>
          </w:p>
        </w:tc>
      </w:tr>
      <w:tr w:rsidR="000868DB" w:rsidRPr="000868DB" w:rsidTr="007D4B89">
        <w:trPr>
          <w:trHeight w:val="276"/>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1QFY24</w:t>
            </w:r>
          </w:p>
        </w:tc>
        <w:tc>
          <w:tcPr>
            <w:tcW w:w="112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5.2%</w:t>
            </w:r>
          </w:p>
        </w:tc>
        <w:tc>
          <w:tcPr>
            <w:tcW w:w="112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3.6%</w:t>
            </w:r>
          </w:p>
        </w:tc>
        <w:tc>
          <w:tcPr>
            <w:tcW w:w="124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1.8%</w:t>
            </w:r>
          </w:p>
        </w:tc>
        <w:tc>
          <w:tcPr>
            <w:tcW w:w="118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3.1%</w:t>
            </w:r>
          </w:p>
        </w:tc>
        <w:tc>
          <w:tcPr>
            <w:tcW w:w="106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3</w:t>
            </w:r>
          </w:p>
        </w:tc>
        <w:tc>
          <w:tcPr>
            <w:tcW w:w="108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7,927</w:t>
            </w:r>
          </w:p>
        </w:tc>
        <w:tc>
          <w:tcPr>
            <w:tcW w:w="1080" w:type="dxa"/>
            <w:tcBorders>
              <w:top w:val="nil"/>
              <w:left w:val="nil"/>
              <w:bottom w:val="single" w:sz="4" w:space="0" w:color="auto"/>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239,785</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FE7459" w:rsidRDefault="00FE7459"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 xml:space="preserve">0% </w:t>
      </w:r>
      <w:r w:rsidRPr="00A35859">
        <w:rPr>
          <w:rFonts w:ascii="Calibri" w:eastAsia="Times New Roman" w:hAnsi="Calibri" w:cs="Times New Roman"/>
          <w:color w:val="000000"/>
          <w:sz w:val="20"/>
          <w:szCs w:val="20"/>
        </w:rPr>
        <w:t xml:space="preserve"> Six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lastRenderedPageBreak/>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 xml:space="preserve">Liability for Income Tax, if ninety per cent (90%) of the Fund’s income </w:t>
      </w:r>
      <w:proofErr w:type="gramStart"/>
      <w:r w:rsidRPr="00445375">
        <w:rPr>
          <w:b/>
          <w:color w:val="000000" w:themeColor="text1"/>
          <w:sz w:val="20"/>
          <w:szCs w:val="20"/>
        </w:rPr>
        <w:t>is paid</w:t>
      </w:r>
      <w:proofErr w:type="gramEnd"/>
      <w:r w:rsidRPr="00445375">
        <w:rPr>
          <w:b/>
          <w:color w:val="000000" w:themeColor="text1"/>
          <w:sz w:val="20"/>
          <w:szCs w:val="20"/>
        </w:rPr>
        <w:t xml:space="preserve">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rPr>
          <w:sz w:val="20"/>
          <w:szCs w:val="20"/>
        </w:rPr>
      </w:pPr>
    </w:p>
    <w:p w:rsidR="000868DB" w:rsidRDefault="000868DB" w:rsidP="00C46318">
      <w:pPr>
        <w:rPr>
          <w:b/>
          <w:sz w:val="24"/>
        </w:rPr>
      </w:pPr>
    </w:p>
    <w:p w:rsidR="00C46318" w:rsidRDefault="00C46318" w:rsidP="00C46318">
      <w:pPr>
        <w:rPr>
          <w:b/>
          <w:sz w:val="24"/>
        </w:rPr>
      </w:pPr>
    </w:p>
    <w:p w:rsidR="00FE7459" w:rsidRDefault="00FE7459" w:rsidP="00C46318">
      <w:pPr>
        <w:jc w:val="center"/>
        <w:rPr>
          <w:b/>
        </w:rPr>
      </w:pPr>
    </w:p>
    <w:p w:rsidR="00FE7459" w:rsidRDefault="00FE7459" w:rsidP="00C46318">
      <w:pPr>
        <w:jc w:val="center"/>
        <w:rPr>
          <w:b/>
        </w:rPr>
      </w:pPr>
    </w:p>
    <w:p w:rsidR="00C46318" w:rsidRPr="00D938AC" w:rsidRDefault="00D938AC" w:rsidP="00C46318">
      <w:pPr>
        <w:jc w:val="center"/>
        <w:rPr>
          <w:b/>
        </w:rPr>
      </w:pPr>
      <w:r w:rsidRPr="00D938AC">
        <w:rPr>
          <w:b/>
        </w:rPr>
        <w:lastRenderedPageBreak/>
        <w:t xml:space="preserve">MCB Pakistan </w:t>
      </w:r>
      <w:r w:rsidR="00C46318" w:rsidRPr="00D938AC">
        <w:rPr>
          <w:b/>
        </w:rPr>
        <w:t>Islamic Asset Allocation</w:t>
      </w:r>
      <w:r w:rsidRPr="00D938AC">
        <w:rPr>
          <w:b/>
        </w:rPr>
        <w:t xml:space="preserve"> Composite</w:t>
      </w:r>
    </w:p>
    <w:tbl>
      <w:tblPr>
        <w:tblW w:w="9463" w:type="dxa"/>
        <w:tblInd w:w="113" w:type="dxa"/>
        <w:tblLook w:val="04A0" w:firstRow="1" w:lastRow="0" w:firstColumn="1" w:lastColumn="0" w:noHBand="0" w:noVBand="1"/>
      </w:tblPr>
      <w:tblGrid>
        <w:gridCol w:w="855"/>
        <w:gridCol w:w="1000"/>
        <w:gridCol w:w="1155"/>
        <w:gridCol w:w="1315"/>
        <w:gridCol w:w="1398"/>
        <w:gridCol w:w="1112"/>
        <w:gridCol w:w="1356"/>
        <w:gridCol w:w="1272"/>
      </w:tblGrid>
      <w:tr w:rsidR="000868DB" w:rsidRPr="000868DB" w:rsidTr="007D4B89">
        <w:trPr>
          <w:trHeight w:val="509"/>
        </w:trPr>
        <w:tc>
          <w:tcPr>
            <w:tcW w:w="85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Year</w:t>
            </w:r>
          </w:p>
        </w:tc>
        <w:tc>
          <w:tcPr>
            <w:tcW w:w="100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Net Returns</w:t>
            </w:r>
          </w:p>
        </w:tc>
        <w:tc>
          <w:tcPr>
            <w:tcW w:w="1155"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Benchmark</w:t>
            </w:r>
          </w:p>
        </w:tc>
        <w:tc>
          <w:tcPr>
            <w:tcW w:w="1315"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 xml:space="preserve">Composite 3 </w:t>
            </w:r>
            <w:proofErr w:type="spellStart"/>
            <w:r w:rsidRPr="000868DB">
              <w:rPr>
                <w:rFonts w:ascii="Calibri" w:eastAsia="Times New Roman" w:hAnsi="Calibri" w:cs="Calibri"/>
                <w:b/>
                <w:bCs/>
                <w:color w:val="000000"/>
                <w:sz w:val="18"/>
                <w:szCs w:val="18"/>
              </w:rPr>
              <w:t>Yr</w:t>
            </w:r>
            <w:proofErr w:type="spellEnd"/>
            <w:r w:rsidRPr="000868DB">
              <w:rPr>
                <w:rFonts w:ascii="Calibri" w:eastAsia="Times New Roman" w:hAnsi="Calibri" w:cs="Calibri"/>
                <w:b/>
                <w:bCs/>
                <w:color w:val="000000"/>
                <w:sz w:val="18"/>
                <w:szCs w:val="18"/>
              </w:rPr>
              <w:t xml:space="preserve"> Standard Deviation</w:t>
            </w:r>
          </w:p>
        </w:tc>
        <w:tc>
          <w:tcPr>
            <w:tcW w:w="1398"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 xml:space="preserve">Benchmark 3 </w:t>
            </w:r>
            <w:proofErr w:type="spellStart"/>
            <w:r w:rsidRPr="000868DB">
              <w:rPr>
                <w:rFonts w:ascii="Calibri" w:eastAsia="Times New Roman" w:hAnsi="Calibri" w:cs="Calibri"/>
                <w:b/>
                <w:bCs/>
                <w:color w:val="000000"/>
                <w:sz w:val="18"/>
                <w:szCs w:val="18"/>
              </w:rPr>
              <w:t>Yr</w:t>
            </w:r>
            <w:proofErr w:type="spellEnd"/>
            <w:r w:rsidRPr="000868DB">
              <w:rPr>
                <w:rFonts w:ascii="Calibri" w:eastAsia="Times New Roman" w:hAnsi="Calibri" w:cs="Calibri"/>
                <w:b/>
                <w:bCs/>
                <w:color w:val="000000"/>
                <w:sz w:val="18"/>
                <w:szCs w:val="18"/>
              </w:rPr>
              <w:t xml:space="preserve"> Standard Deviation</w:t>
            </w:r>
          </w:p>
        </w:tc>
        <w:tc>
          <w:tcPr>
            <w:tcW w:w="1112"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Number of Portfolios</w:t>
            </w:r>
          </w:p>
        </w:tc>
        <w:tc>
          <w:tcPr>
            <w:tcW w:w="1356"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Composite Assets</w:t>
            </w:r>
          </w:p>
        </w:tc>
        <w:tc>
          <w:tcPr>
            <w:tcW w:w="1272"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Firm Assets</w:t>
            </w:r>
          </w:p>
        </w:tc>
      </w:tr>
      <w:tr w:rsidR="000868DB" w:rsidRPr="000868DB" w:rsidTr="007D4B89">
        <w:trPr>
          <w:trHeight w:val="509"/>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00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155"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315"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398"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112"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356"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272" w:type="dxa"/>
            <w:vMerge/>
            <w:tcBorders>
              <w:top w:val="single" w:sz="4" w:space="0" w:color="auto"/>
              <w:left w:val="nil"/>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r>
      <w:tr w:rsidR="000868DB" w:rsidRPr="000868DB" w:rsidTr="007D4B89">
        <w:trPr>
          <w:trHeight w:val="509"/>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00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155"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315"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398"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112"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356"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c>
          <w:tcPr>
            <w:tcW w:w="1272" w:type="dxa"/>
            <w:vMerge/>
            <w:tcBorders>
              <w:top w:val="single" w:sz="4" w:space="0" w:color="auto"/>
              <w:left w:val="nil"/>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rPr>
            </w:pP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FY15</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19.8%</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14.0%</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9.7%</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8.6%</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&lt;5</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1,418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57,855 </w:t>
            </w: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FY16</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3.9%</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10.6%</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8.5%</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8.2%</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&lt;5</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1,426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62,295 </w:t>
            </w: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FY17</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17.0%</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11.2%</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8.3%</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10.1%</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&lt;5</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3,981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76,298 </w:t>
            </w: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FY18</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-4.1%</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-3.3%</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8.5%</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9.6%</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&lt;5</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8,095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82,197 </w:t>
            </w: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FY19</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-6.1%</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-10.6%</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8.3%</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10.2%</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7 </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7,114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84,050 </w:t>
            </w: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FY20</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5.2%</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6.5%</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22.2%</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20.8%</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7 </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5,807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117,194 </w:t>
            </w: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FY21</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19.0%</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20.8%</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9.9%</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10.7%</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5 </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6,463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163,938 </w:t>
            </w: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FY22</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-8.6%</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-3.5%</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7.9%</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5.8%</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5 </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5,417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195,809 </w:t>
            </w:r>
          </w:p>
        </w:tc>
      </w:tr>
      <w:tr w:rsidR="000868DB" w:rsidRPr="000868DB" w:rsidTr="007D4B89">
        <w:trPr>
          <w:trHeight w:val="276"/>
        </w:trPr>
        <w:tc>
          <w:tcPr>
            <w:tcW w:w="855"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FY23</w:t>
            </w:r>
          </w:p>
        </w:tc>
        <w:tc>
          <w:tcPr>
            <w:tcW w:w="10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5.2%</w:t>
            </w:r>
          </w:p>
        </w:tc>
        <w:tc>
          <w:tcPr>
            <w:tcW w:w="115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4.8%</w:t>
            </w:r>
          </w:p>
        </w:tc>
        <w:tc>
          <w:tcPr>
            <w:tcW w:w="1315"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7.2%</w:t>
            </w:r>
          </w:p>
        </w:tc>
        <w:tc>
          <w:tcPr>
            <w:tcW w:w="1398"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6.3%</w:t>
            </w:r>
          </w:p>
        </w:tc>
        <w:tc>
          <w:tcPr>
            <w:tcW w:w="1112"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5 </w:t>
            </w:r>
          </w:p>
        </w:tc>
        <w:tc>
          <w:tcPr>
            <w:tcW w:w="1356"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4,851 </w:t>
            </w:r>
          </w:p>
        </w:tc>
        <w:tc>
          <w:tcPr>
            <w:tcW w:w="1272"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235,912 </w:t>
            </w:r>
          </w:p>
        </w:tc>
      </w:tr>
      <w:tr w:rsidR="000868DB" w:rsidRPr="000868DB" w:rsidTr="007D4B89">
        <w:trPr>
          <w:trHeight w:val="276"/>
        </w:trPr>
        <w:tc>
          <w:tcPr>
            <w:tcW w:w="855" w:type="dxa"/>
            <w:tcBorders>
              <w:top w:val="nil"/>
              <w:left w:val="single" w:sz="4" w:space="0" w:color="auto"/>
              <w:bottom w:val="single" w:sz="4" w:space="0" w:color="auto"/>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rPr>
            </w:pPr>
            <w:r w:rsidRPr="000868DB">
              <w:rPr>
                <w:rFonts w:ascii="Calibri" w:eastAsia="Times New Roman" w:hAnsi="Calibri" w:cs="Calibri"/>
                <w:b/>
                <w:bCs/>
                <w:color w:val="000000"/>
                <w:sz w:val="18"/>
                <w:szCs w:val="18"/>
              </w:rPr>
              <w:t>1QFY24</w:t>
            </w:r>
          </w:p>
        </w:tc>
        <w:tc>
          <w:tcPr>
            <w:tcW w:w="100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6.8%</w:t>
            </w:r>
          </w:p>
        </w:tc>
        <w:tc>
          <w:tcPr>
            <w:tcW w:w="1155"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6.1%</w:t>
            </w:r>
          </w:p>
        </w:tc>
        <w:tc>
          <w:tcPr>
            <w:tcW w:w="1315"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10.1%</w:t>
            </w:r>
          </w:p>
        </w:tc>
        <w:tc>
          <w:tcPr>
            <w:tcW w:w="1398"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7.6%</w:t>
            </w:r>
          </w:p>
        </w:tc>
        <w:tc>
          <w:tcPr>
            <w:tcW w:w="1112"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5 </w:t>
            </w:r>
          </w:p>
        </w:tc>
        <w:tc>
          <w:tcPr>
            <w:tcW w:w="1356"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4,982 </w:t>
            </w:r>
          </w:p>
        </w:tc>
        <w:tc>
          <w:tcPr>
            <w:tcW w:w="1272" w:type="dxa"/>
            <w:tcBorders>
              <w:top w:val="nil"/>
              <w:left w:val="nil"/>
              <w:bottom w:val="single" w:sz="4" w:space="0" w:color="auto"/>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rPr>
            </w:pPr>
            <w:r w:rsidRPr="000868DB">
              <w:rPr>
                <w:rFonts w:ascii="Calibri" w:eastAsia="Times New Roman" w:hAnsi="Calibri" w:cs="Calibri"/>
                <w:color w:val="000000"/>
                <w:sz w:val="18"/>
                <w:szCs w:val="18"/>
              </w:rPr>
              <w:t xml:space="preserve">239,785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w:t>
      </w:r>
      <w:proofErr w:type="spellStart"/>
      <w:r w:rsidRPr="00BF1C33">
        <w:rPr>
          <w:color w:val="000000" w:themeColor="text1"/>
          <w:sz w:val="20"/>
          <w:szCs w:val="20"/>
        </w:rPr>
        <w:t>i</w:t>
      </w:r>
      <w:proofErr w:type="spellEnd"/>
      <w:r w:rsidRPr="00BF1C33">
        <w:rPr>
          <w:color w:val="000000" w:themeColor="text1"/>
          <w:sz w:val="20"/>
          <w:szCs w:val="20"/>
        </w:rPr>
        <w:t>)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 xml:space="preserve">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Shariah Supervisory Board of the firm. The composite currently comprises of </w:t>
      </w:r>
      <w:proofErr w:type="spellStart"/>
      <w:r w:rsidRPr="00BF1C33">
        <w:rPr>
          <w:sz w:val="20"/>
          <w:szCs w:val="20"/>
        </w:rPr>
        <w:t>Alhamra</w:t>
      </w:r>
      <w:proofErr w:type="spellEnd"/>
      <w:r w:rsidRPr="00BF1C33">
        <w:rPr>
          <w:sz w:val="20"/>
          <w:szCs w:val="20"/>
        </w:rPr>
        <w:t xml:space="preserve"> Asset Allocation Plan 1, </w:t>
      </w:r>
      <w:proofErr w:type="spellStart"/>
      <w:r w:rsidRPr="00BF1C33">
        <w:rPr>
          <w:sz w:val="20"/>
          <w:szCs w:val="20"/>
        </w:rPr>
        <w:t>Alhamra</w:t>
      </w:r>
      <w:proofErr w:type="spellEnd"/>
      <w:r w:rsidRPr="00BF1C33">
        <w:rPr>
          <w:sz w:val="20"/>
          <w:szCs w:val="20"/>
        </w:rPr>
        <w:t xml:space="preserve"> Asset Allocation Plan 2, </w:t>
      </w:r>
      <w:proofErr w:type="spellStart"/>
      <w:r w:rsidRPr="00BF1C33">
        <w:rPr>
          <w:sz w:val="20"/>
          <w:szCs w:val="20"/>
        </w:rPr>
        <w:lastRenderedPageBreak/>
        <w:t>Alhamra</w:t>
      </w:r>
      <w:proofErr w:type="spellEnd"/>
      <w:r w:rsidRPr="00BF1C33">
        <w:rPr>
          <w:sz w:val="20"/>
          <w:szCs w:val="20"/>
        </w:rPr>
        <w:t xml:space="preserve">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C46318" w:rsidRDefault="00C46318" w:rsidP="00C46318">
      <w:pPr>
        <w:jc w:val="both"/>
        <w:rPr>
          <w:b/>
          <w:color w:val="000000" w:themeColor="text1"/>
          <w:sz w:val="20"/>
          <w:szCs w:val="20"/>
        </w:rPr>
      </w:pPr>
      <w:r w:rsidRPr="00BF1C33">
        <w:rPr>
          <w:b/>
          <w:color w:val="000000" w:themeColor="text1"/>
          <w:sz w:val="20"/>
          <w:szCs w:val="20"/>
        </w:rPr>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381"/>
        <w:gridCol w:w="5411"/>
      </w:tblGrid>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0A4388" w:rsidRDefault="000A438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0A7E46" w:rsidRDefault="000A7E46" w:rsidP="00C46318">
      <w:pPr>
        <w:jc w:val="center"/>
        <w:rPr>
          <w:b/>
        </w:rPr>
      </w:pPr>
    </w:p>
    <w:p w:rsidR="00C46318" w:rsidRPr="00D938AC" w:rsidRDefault="00D938AC" w:rsidP="00C46318">
      <w:pPr>
        <w:jc w:val="center"/>
        <w:rPr>
          <w:b/>
        </w:rPr>
      </w:pPr>
      <w:r w:rsidRPr="00D938AC">
        <w:rPr>
          <w:b/>
        </w:rPr>
        <w:lastRenderedPageBreak/>
        <w:t xml:space="preserve">MCB Pakistan </w:t>
      </w:r>
      <w:r w:rsidR="00C46318" w:rsidRPr="00D938AC">
        <w:rPr>
          <w:b/>
        </w:rPr>
        <w:t>Capital Preservation</w:t>
      </w:r>
      <w:r w:rsidRPr="00D938AC">
        <w:rPr>
          <w:b/>
        </w:rPr>
        <w:t xml:space="preserve"> Composite</w:t>
      </w:r>
    </w:p>
    <w:tbl>
      <w:tblPr>
        <w:tblW w:w="9640" w:type="dxa"/>
        <w:tblInd w:w="113" w:type="dxa"/>
        <w:tblLook w:val="04A0" w:firstRow="1" w:lastRow="0" w:firstColumn="1" w:lastColumn="0" w:noHBand="0" w:noVBand="1"/>
      </w:tblPr>
      <w:tblGrid>
        <w:gridCol w:w="980"/>
        <w:gridCol w:w="880"/>
        <w:gridCol w:w="1080"/>
        <w:gridCol w:w="1280"/>
        <w:gridCol w:w="1300"/>
        <w:gridCol w:w="1120"/>
        <w:gridCol w:w="1007"/>
        <w:gridCol w:w="1060"/>
        <w:gridCol w:w="960"/>
      </w:tblGrid>
      <w:tr w:rsidR="000868DB" w:rsidRPr="000868DB" w:rsidTr="007D4B89">
        <w:trPr>
          <w:trHeight w:val="509"/>
        </w:trPr>
        <w:tc>
          <w:tcPr>
            <w:tcW w:w="98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Year</w:t>
            </w:r>
          </w:p>
        </w:tc>
        <w:tc>
          <w:tcPr>
            <w:tcW w:w="88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Benchmark</w:t>
            </w:r>
          </w:p>
        </w:tc>
        <w:tc>
          <w:tcPr>
            <w:tcW w:w="128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Composite 3 Yr Standard Deviation</w:t>
            </w:r>
          </w:p>
        </w:tc>
        <w:tc>
          <w:tcPr>
            <w:tcW w:w="130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Benchmark 3 Yr Standard Deviation</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Number of Portfolios</w:t>
            </w:r>
          </w:p>
        </w:tc>
        <w:tc>
          <w:tcPr>
            <w:tcW w:w="98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Internal Dispersion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Composite Assets</w:t>
            </w:r>
          </w:p>
        </w:tc>
        <w:tc>
          <w:tcPr>
            <w:tcW w:w="96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Firm Assets</w:t>
            </w:r>
          </w:p>
        </w:tc>
      </w:tr>
      <w:tr w:rsidR="000868DB" w:rsidRPr="000868DB" w:rsidTr="007D4B8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8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2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30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12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9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960" w:type="dxa"/>
            <w:vMerge/>
            <w:tcBorders>
              <w:top w:val="single" w:sz="4" w:space="0" w:color="auto"/>
              <w:left w:val="nil"/>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r>
      <w:tr w:rsidR="000868DB" w:rsidRPr="000868DB" w:rsidTr="007D4B89">
        <w:trPr>
          <w:trHeight w:val="509"/>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8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2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30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12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98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1060" w:type="dxa"/>
            <w:vMerge/>
            <w:tcBorders>
              <w:top w:val="single" w:sz="4" w:space="0" w:color="auto"/>
              <w:left w:val="nil"/>
              <w:bottom w:val="single" w:sz="4" w:space="0" w:color="000000"/>
              <w:right w:val="nil"/>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c>
          <w:tcPr>
            <w:tcW w:w="960" w:type="dxa"/>
            <w:vMerge/>
            <w:tcBorders>
              <w:top w:val="single" w:sz="4" w:space="0" w:color="auto"/>
              <w:left w:val="nil"/>
              <w:bottom w:val="single" w:sz="4" w:space="0" w:color="000000"/>
              <w:right w:val="single" w:sz="4" w:space="0" w:color="auto"/>
            </w:tcBorders>
            <w:vAlign w:val="center"/>
            <w:hideMark/>
          </w:tcPr>
          <w:p w:rsidR="000868DB" w:rsidRPr="000868DB" w:rsidRDefault="000868DB" w:rsidP="007D4B89">
            <w:pPr>
              <w:spacing w:after="0" w:line="240" w:lineRule="auto"/>
              <w:rPr>
                <w:rFonts w:ascii="Calibri" w:eastAsia="Times New Roman" w:hAnsi="Calibri" w:cs="Calibri"/>
                <w:b/>
                <w:bCs/>
                <w:color w:val="000000"/>
                <w:sz w:val="18"/>
                <w:szCs w:val="18"/>
                <w:lang/>
              </w:rPr>
            </w:pP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FY15</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7.2%</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11.3%</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9.2%</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0.4%</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15</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 </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1,234</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57,855</w:t>
            </w: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FY16</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2.8%</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8.7%</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5.2%</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0.7%</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40</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5.5%</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2,274</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62,295</w:t>
            </w: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FY17</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11.9%</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8.2%</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5.3%</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0.5%</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51</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4.2%</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1,844</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76,298</w:t>
            </w: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FY18</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-0.9%</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8.4%</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4.9%</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0.2%</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55</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10.7%</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2,257</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82,197</w:t>
            </w: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FY19</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-2.8%</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12.7%</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4.6%</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1.1%</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40</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3.4%</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1,579</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84,050</w:t>
            </w: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FY20</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4.2%</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15.0%</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7.1%</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1.3%</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35</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4.8%</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2,362</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117,194</w:t>
            </w: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FY21</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5.6%</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9.6%</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4.9%</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0.7%</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36</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6.7%</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1,742</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163,938</w:t>
            </w: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FY22</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2.9%</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13.4%</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2.0%</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0.8%</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37</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6.3%</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1,135</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195,809</w:t>
            </w:r>
          </w:p>
        </w:tc>
      </w:tr>
      <w:tr w:rsidR="000868DB" w:rsidRPr="000868DB" w:rsidTr="007D4B89">
        <w:trPr>
          <w:trHeight w:val="276"/>
        </w:trPr>
        <w:tc>
          <w:tcPr>
            <w:tcW w:w="980" w:type="dxa"/>
            <w:tcBorders>
              <w:top w:val="nil"/>
              <w:left w:val="single" w:sz="4" w:space="0" w:color="auto"/>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FY23</w:t>
            </w:r>
          </w:p>
        </w:tc>
        <w:tc>
          <w:tcPr>
            <w:tcW w:w="8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9.6%</w:t>
            </w:r>
          </w:p>
        </w:tc>
        <w:tc>
          <w:tcPr>
            <w:tcW w:w="10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22.2%</w:t>
            </w:r>
          </w:p>
        </w:tc>
        <w:tc>
          <w:tcPr>
            <w:tcW w:w="12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2.1%</w:t>
            </w:r>
          </w:p>
        </w:tc>
        <w:tc>
          <w:tcPr>
            <w:tcW w:w="130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2.3%</w:t>
            </w:r>
          </w:p>
        </w:tc>
        <w:tc>
          <w:tcPr>
            <w:tcW w:w="112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29</w:t>
            </w:r>
          </w:p>
        </w:tc>
        <w:tc>
          <w:tcPr>
            <w:tcW w:w="98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7.6%</w:t>
            </w:r>
          </w:p>
        </w:tc>
        <w:tc>
          <w:tcPr>
            <w:tcW w:w="1060" w:type="dxa"/>
            <w:tcBorders>
              <w:top w:val="nil"/>
              <w:left w:val="nil"/>
              <w:bottom w:val="nil"/>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1,385</w:t>
            </w:r>
          </w:p>
        </w:tc>
        <w:tc>
          <w:tcPr>
            <w:tcW w:w="960" w:type="dxa"/>
            <w:tcBorders>
              <w:top w:val="nil"/>
              <w:left w:val="nil"/>
              <w:bottom w:val="nil"/>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235,912</w:t>
            </w:r>
          </w:p>
        </w:tc>
      </w:tr>
      <w:tr w:rsidR="000868DB" w:rsidRPr="000868DB" w:rsidTr="007D4B89">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b/>
                <w:bCs/>
                <w:color w:val="000000"/>
                <w:sz w:val="18"/>
                <w:szCs w:val="18"/>
                <w:lang/>
              </w:rPr>
            </w:pPr>
            <w:r w:rsidRPr="000868DB">
              <w:rPr>
                <w:rFonts w:ascii="Calibri" w:eastAsia="Times New Roman" w:hAnsi="Calibri" w:cs="Calibri"/>
                <w:b/>
                <w:bCs/>
                <w:color w:val="000000"/>
                <w:sz w:val="18"/>
                <w:szCs w:val="18"/>
                <w:lang/>
              </w:rPr>
              <w:t>1QFY24</w:t>
            </w:r>
          </w:p>
        </w:tc>
        <w:tc>
          <w:tcPr>
            <w:tcW w:w="88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4.3%</w:t>
            </w:r>
          </w:p>
        </w:tc>
        <w:tc>
          <w:tcPr>
            <w:tcW w:w="108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6.5%</w:t>
            </w:r>
          </w:p>
        </w:tc>
        <w:tc>
          <w:tcPr>
            <w:tcW w:w="128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2.5%</w:t>
            </w:r>
          </w:p>
        </w:tc>
        <w:tc>
          <w:tcPr>
            <w:tcW w:w="130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1.5%</w:t>
            </w:r>
          </w:p>
        </w:tc>
        <w:tc>
          <w:tcPr>
            <w:tcW w:w="112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29</w:t>
            </w:r>
          </w:p>
        </w:tc>
        <w:tc>
          <w:tcPr>
            <w:tcW w:w="98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8.7%</w:t>
            </w:r>
          </w:p>
        </w:tc>
        <w:tc>
          <w:tcPr>
            <w:tcW w:w="1060" w:type="dxa"/>
            <w:tcBorders>
              <w:top w:val="nil"/>
              <w:left w:val="nil"/>
              <w:bottom w:val="single" w:sz="4" w:space="0" w:color="auto"/>
              <w:right w:val="nil"/>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1,462</w:t>
            </w:r>
          </w:p>
        </w:tc>
        <w:tc>
          <w:tcPr>
            <w:tcW w:w="960" w:type="dxa"/>
            <w:tcBorders>
              <w:top w:val="nil"/>
              <w:left w:val="nil"/>
              <w:bottom w:val="single" w:sz="4" w:space="0" w:color="auto"/>
              <w:right w:val="single" w:sz="4" w:space="0" w:color="auto"/>
            </w:tcBorders>
            <w:shd w:val="clear" w:color="000000" w:fill="FFFFFF"/>
            <w:noWrap/>
            <w:vAlign w:val="center"/>
            <w:hideMark/>
          </w:tcPr>
          <w:p w:rsidR="000868DB" w:rsidRPr="000868DB" w:rsidRDefault="000868DB" w:rsidP="007D4B89">
            <w:pPr>
              <w:spacing w:after="0" w:line="240" w:lineRule="auto"/>
              <w:jc w:val="center"/>
              <w:rPr>
                <w:rFonts w:ascii="Calibri" w:eastAsia="Times New Roman" w:hAnsi="Calibri" w:cs="Calibri"/>
                <w:color w:val="000000"/>
                <w:sz w:val="18"/>
                <w:szCs w:val="18"/>
                <w:lang/>
              </w:rPr>
            </w:pPr>
            <w:r w:rsidRPr="000868DB">
              <w:rPr>
                <w:rFonts w:ascii="Calibri" w:eastAsia="Times New Roman" w:hAnsi="Calibri" w:cs="Calibri"/>
                <w:color w:val="000000"/>
                <w:sz w:val="18"/>
                <w:szCs w:val="18"/>
                <w:lang/>
              </w:rPr>
              <w:t>239,785</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w:t>
      </w:r>
      <w:proofErr w:type="spellStart"/>
      <w:r w:rsidRPr="00434CAC">
        <w:rPr>
          <w:color w:val="000000" w:themeColor="text1"/>
          <w:sz w:val="20"/>
          <w:szCs w:val="20"/>
        </w:rPr>
        <w:t>i</w:t>
      </w:r>
      <w:proofErr w:type="spellEnd"/>
      <w:r w:rsidRPr="00434CAC">
        <w:rPr>
          <w:color w:val="000000" w:themeColor="text1"/>
          <w:sz w:val="20"/>
          <w:szCs w:val="20"/>
        </w:rPr>
        <w:t>)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w:t>
      </w:r>
      <w:r w:rsidRPr="00434CAC">
        <w:rPr>
          <w:sz w:val="20"/>
          <w:szCs w:val="20"/>
        </w:rPr>
        <w:lastRenderedPageBreak/>
        <w:t xml:space="preserve">recognized internationally for its credibility. The composite currently comprises of </w:t>
      </w:r>
      <w:proofErr w:type="gramStart"/>
      <w:r w:rsidRPr="00434CAC">
        <w:rPr>
          <w:sz w:val="20"/>
          <w:szCs w:val="20"/>
        </w:rPr>
        <w:t xml:space="preserve">Fifty </w:t>
      </w:r>
      <w:r w:rsidR="003F4C45">
        <w:rPr>
          <w:sz w:val="20"/>
          <w:szCs w:val="20"/>
        </w:rPr>
        <w:t>Four</w:t>
      </w:r>
      <w:proofErr w:type="gramEnd"/>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C46318" w:rsidRPr="00434CAC" w:rsidRDefault="00C46318" w:rsidP="00C46318">
      <w:pPr>
        <w:jc w:val="both"/>
        <w:rPr>
          <w:b/>
          <w:color w:val="000000" w:themeColor="text1"/>
          <w:sz w:val="20"/>
          <w:szCs w:val="20"/>
        </w:rPr>
      </w:pPr>
      <w:r w:rsidRPr="00434CAC">
        <w:rPr>
          <w:b/>
          <w:color w:val="000000" w:themeColor="text1"/>
          <w:sz w:val="20"/>
          <w:szCs w:val="20"/>
        </w:rPr>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FE7459" w:rsidRDefault="00FE7459" w:rsidP="00C46318">
      <w:pPr>
        <w:jc w:val="both"/>
        <w:rPr>
          <w:b/>
          <w:color w:val="000000" w:themeColor="text1"/>
          <w:sz w:val="20"/>
          <w:szCs w:val="20"/>
        </w:rPr>
      </w:pPr>
    </w:p>
    <w:p w:rsidR="00FE7459" w:rsidRDefault="00FE7459"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t>Returns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t>Capital Gains arising on disposition of Units of the Fund subject to withholding Capital Gains Tax (CGT) at the applicable rates given in the Income Tax Ordinance, 2001 (ITO).</w:t>
      </w:r>
      <w:r w:rsidR="00A92580">
        <w:rPr>
          <w:color w:val="000000" w:themeColor="text1"/>
          <w:sz w:val="20"/>
          <w:szCs w:val="20"/>
        </w:rPr>
        <w:t xml:space="preserve"> </w:t>
      </w:r>
      <w:r w:rsidRPr="00434CAC">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bookmarkStart w:id="0" w:name="_GoBack"/>
      <w:bookmarkEnd w:id="0"/>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B9" w:rsidRDefault="008C71B9" w:rsidP="004C48AB">
      <w:pPr>
        <w:spacing w:after="0" w:line="240" w:lineRule="auto"/>
      </w:pPr>
      <w:r>
        <w:separator/>
      </w:r>
    </w:p>
  </w:endnote>
  <w:endnote w:type="continuationSeparator" w:id="0">
    <w:p w:rsidR="008C71B9" w:rsidRDefault="008C71B9"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469"/>
      <w:docPartObj>
        <w:docPartGallery w:val="Page Numbers (Bottom of Page)"/>
        <w:docPartUnique/>
      </w:docPartObj>
    </w:sdtPr>
    <w:sdtEndPr/>
    <w:sdtContent>
      <w:p w:rsidR="008C71B9" w:rsidRDefault="008C71B9">
        <w:pPr>
          <w:pStyle w:val="Footer"/>
          <w:jc w:val="right"/>
        </w:pPr>
      </w:p>
      <w:p w:rsidR="008C71B9" w:rsidRDefault="008C71B9">
        <w:pPr>
          <w:pStyle w:val="Footer"/>
          <w:jc w:val="right"/>
        </w:pPr>
        <w:r>
          <w:rPr>
            <w:noProof/>
          </w:rPr>
          <w:fldChar w:fldCharType="begin"/>
        </w:r>
        <w:r>
          <w:rPr>
            <w:noProof/>
          </w:rPr>
          <w:instrText xml:space="preserve"> PAGE   \* MERGEFORMAT </w:instrText>
        </w:r>
        <w:r>
          <w:rPr>
            <w:noProof/>
          </w:rPr>
          <w:fldChar w:fldCharType="separate"/>
        </w:r>
        <w:r w:rsidR="00FE7459">
          <w:rPr>
            <w:noProof/>
          </w:rPr>
          <w:t>34</w:t>
        </w:r>
        <w:r>
          <w:rPr>
            <w:noProof/>
          </w:rPr>
          <w:fldChar w:fldCharType="end"/>
        </w:r>
      </w:p>
    </w:sdtContent>
  </w:sdt>
  <w:p w:rsidR="008C71B9" w:rsidRDefault="008C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B9" w:rsidRDefault="008C71B9" w:rsidP="004C48AB">
      <w:pPr>
        <w:spacing w:after="0" w:line="240" w:lineRule="auto"/>
      </w:pPr>
      <w:r>
        <w:separator/>
      </w:r>
    </w:p>
  </w:footnote>
  <w:footnote w:type="continuationSeparator" w:id="0">
    <w:p w:rsidR="008C71B9" w:rsidRDefault="008C71B9"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8"/>
    <w:rsid w:val="00005509"/>
    <w:rsid w:val="00010CA5"/>
    <w:rsid w:val="000206FA"/>
    <w:rsid w:val="00021A0F"/>
    <w:rsid w:val="00023331"/>
    <w:rsid w:val="00035206"/>
    <w:rsid w:val="000868DB"/>
    <w:rsid w:val="000A4388"/>
    <w:rsid w:val="000A7E46"/>
    <w:rsid w:val="000C2F64"/>
    <w:rsid w:val="000F3422"/>
    <w:rsid w:val="00107E70"/>
    <w:rsid w:val="00110831"/>
    <w:rsid w:val="00114F05"/>
    <w:rsid w:val="0012399C"/>
    <w:rsid w:val="00123E97"/>
    <w:rsid w:val="00131C63"/>
    <w:rsid w:val="00142DB1"/>
    <w:rsid w:val="00143892"/>
    <w:rsid w:val="001532DF"/>
    <w:rsid w:val="001645E9"/>
    <w:rsid w:val="00166F7B"/>
    <w:rsid w:val="001813F2"/>
    <w:rsid w:val="00194485"/>
    <w:rsid w:val="001C5356"/>
    <w:rsid w:val="001C713F"/>
    <w:rsid w:val="001E2C1B"/>
    <w:rsid w:val="001F63A4"/>
    <w:rsid w:val="001F7A1A"/>
    <w:rsid w:val="0020111E"/>
    <w:rsid w:val="00201AD1"/>
    <w:rsid w:val="00202E24"/>
    <w:rsid w:val="00272E55"/>
    <w:rsid w:val="00273176"/>
    <w:rsid w:val="00282406"/>
    <w:rsid w:val="002861FA"/>
    <w:rsid w:val="00287BD3"/>
    <w:rsid w:val="002A2C67"/>
    <w:rsid w:val="002B684E"/>
    <w:rsid w:val="002C2EFF"/>
    <w:rsid w:val="00330B76"/>
    <w:rsid w:val="0034460B"/>
    <w:rsid w:val="00377D17"/>
    <w:rsid w:val="0038405A"/>
    <w:rsid w:val="003D31C9"/>
    <w:rsid w:val="003F4C45"/>
    <w:rsid w:val="00404305"/>
    <w:rsid w:val="0040482F"/>
    <w:rsid w:val="0041153E"/>
    <w:rsid w:val="00417092"/>
    <w:rsid w:val="004217B7"/>
    <w:rsid w:val="004348F5"/>
    <w:rsid w:val="004463FF"/>
    <w:rsid w:val="004513A6"/>
    <w:rsid w:val="004563E6"/>
    <w:rsid w:val="0048417C"/>
    <w:rsid w:val="004903CB"/>
    <w:rsid w:val="00493650"/>
    <w:rsid w:val="004941A6"/>
    <w:rsid w:val="004A3876"/>
    <w:rsid w:val="004A6320"/>
    <w:rsid w:val="004C48AB"/>
    <w:rsid w:val="004D1190"/>
    <w:rsid w:val="004D3B53"/>
    <w:rsid w:val="004F1521"/>
    <w:rsid w:val="0051276A"/>
    <w:rsid w:val="00513409"/>
    <w:rsid w:val="005202D1"/>
    <w:rsid w:val="00525304"/>
    <w:rsid w:val="00557CC2"/>
    <w:rsid w:val="0057139F"/>
    <w:rsid w:val="005755EF"/>
    <w:rsid w:val="0058182E"/>
    <w:rsid w:val="005A2AF9"/>
    <w:rsid w:val="005A5C8C"/>
    <w:rsid w:val="005A7600"/>
    <w:rsid w:val="005B4C5D"/>
    <w:rsid w:val="005E4DED"/>
    <w:rsid w:val="00644A30"/>
    <w:rsid w:val="00670D81"/>
    <w:rsid w:val="006A7CB7"/>
    <w:rsid w:val="006B1779"/>
    <w:rsid w:val="006C5CD4"/>
    <w:rsid w:val="006D6AD0"/>
    <w:rsid w:val="006E009F"/>
    <w:rsid w:val="006E01A2"/>
    <w:rsid w:val="006E2894"/>
    <w:rsid w:val="0070006C"/>
    <w:rsid w:val="00713E75"/>
    <w:rsid w:val="007360B7"/>
    <w:rsid w:val="00744019"/>
    <w:rsid w:val="00770E62"/>
    <w:rsid w:val="00776C07"/>
    <w:rsid w:val="007874FC"/>
    <w:rsid w:val="00793CE0"/>
    <w:rsid w:val="007B647F"/>
    <w:rsid w:val="007C40D0"/>
    <w:rsid w:val="007D0A92"/>
    <w:rsid w:val="007D3ED0"/>
    <w:rsid w:val="007E25D8"/>
    <w:rsid w:val="007F0DFF"/>
    <w:rsid w:val="007F437F"/>
    <w:rsid w:val="00803D71"/>
    <w:rsid w:val="00830844"/>
    <w:rsid w:val="00841DFC"/>
    <w:rsid w:val="00852D1F"/>
    <w:rsid w:val="008716BF"/>
    <w:rsid w:val="00882837"/>
    <w:rsid w:val="008B2AFB"/>
    <w:rsid w:val="008C5CEE"/>
    <w:rsid w:val="008C5DDD"/>
    <w:rsid w:val="008C71B9"/>
    <w:rsid w:val="0090565B"/>
    <w:rsid w:val="009173A3"/>
    <w:rsid w:val="009224D1"/>
    <w:rsid w:val="00942C83"/>
    <w:rsid w:val="00944013"/>
    <w:rsid w:val="00954108"/>
    <w:rsid w:val="009542C1"/>
    <w:rsid w:val="009563FE"/>
    <w:rsid w:val="00960AEE"/>
    <w:rsid w:val="0096315B"/>
    <w:rsid w:val="009679F1"/>
    <w:rsid w:val="009825F2"/>
    <w:rsid w:val="0098704F"/>
    <w:rsid w:val="00997D97"/>
    <w:rsid w:val="009B0431"/>
    <w:rsid w:val="009F4EF0"/>
    <w:rsid w:val="00A13367"/>
    <w:rsid w:val="00A240EF"/>
    <w:rsid w:val="00A2569B"/>
    <w:rsid w:val="00A31C6A"/>
    <w:rsid w:val="00A400D1"/>
    <w:rsid w:val="00A4307A"/>
    <w:rsid w:val="00A626A6"/>
    <w:rsid w:val="00A92580"/>
    <w:rsid w:val="00AB3035"/>
    <w:rsid w:val="00AB446B"/>
    <w:rsid w:val="00AC106A"/>
    <w:rsid w:val="00AC6F83"/>
    <w:rsid w:val="00AD39E3"/>
    <w:rsid w:val="00AE2FA4"/>
    <w:rsid w:val="00B52FEF"/>
    <w:rsid w:val="00B71694"/>
    <w:rsid w:val="00B85FD5"/>
    <w:rsid w:val="00BB198E"/>
    <w:rsid w:val="00BB5B9A"/>
    <w:rsid w:val="00C031B1"/>
    <w:rsid w:val="00C27314"/>
    <w:rsid w:val="00C31AC8"/>
    <w:rsid w:val="00C46318"/>
    <w:rsid w:val="00CA3F8B"/>
    <w:rsid w:val="00CA50D7"/>
    <w:rsid w:val="00CB1C4E"/>
    <w:rsid w:val="00CB3800"/>
    <w:rsid w:val="00CC1CA2"/>
    <w:rsid w:val="00CE22C8"/>
    <w:rsid w:val="00CE2713"/>
    <w:rsid w:val="00CE364C"/>
    <w:rsid w:val="00CE4C6D"/>
    <w:rsid w:val="00CF32FF"/>
    <w:rsid w:val="00CF6027"/>
    <w:rsid w:val="00D02E9E"/>
    <w:rsid w:val="00D04A21"/>
    <w:rsid w:val="00D06F12"/>
    <w:rsid w:val="00D27E96"/>
    <w:rsid w:val="00D36E69"/>
    <w:rsid w:val="00D40427"/>
    <w:rsid w:val="00D47621"/>
    <w:rsid w:val="00D624E1"/>
    <w:rsid w:val="00D63DDC"/>
    <w:rsid w:val="00D938AC"/>
    <w:rsid w:val="00D96877"/>
    <w:rsid w:val="00D976A0"/>
    <w:rsid w:val="00DA4767"/>
    <w:rsid w:val="00DA586D"/>
    <w:rsid w:val="00DE7A16"/>
    <w:rsid w:val="00DF3725"/>
    <w:rsid w:val="00E1039A"/>
    <w:rsid w:val="00E224C3"/>
    <w:rsid w:val="00E2289C"/>
    <w:rsid w:val="00E64917"/>
    <w:rsid w:val="00E8166A"/>
    <w:rsid w:val="00E834EA"/>
    <w:rsid w:val="00E84275"/>
    <w:rsid w:val="00E856A5"/>
    <w:rsid w:val="00E91965"/>
    <w:rsid w:val="00E95935"/>
    <w:rsid w:val="00E97192"/>
    <w:rsid w:val="00EB2B7A"/>
    <w:rsid w:val="00EB3027"/>
    <w:rsid w:val="00EB5CD7"/>
    <w:rsid w:val="00ED1C5F"/>
    <w:rsid w:val="00EE73C4"/>
    <w:rsid w:val="00EF399C"/>
    <w:rsid w:val="00EF5728"/>
    <w:rsid w:val="00F071C0"/>
    <w:rsid w:val="00F120A6"/>
    <w:rsid w:val="00F27656"/>
    <w:rsid w:val="00F33F10"/>
    <w:rsid w:val="00F70B6C"/>
    <w:rsid w:val="00F76729"/>
    <w:rsid w:val="00F77B82"/>
    <w:rsid w:val="00F803F1"/>
    <w:rsid w:val="00F81D8F"/>
    <w:rsid w:val="00F960A7"/>
    <w:rsid w:val="00FA2C3D"/>
    <w:rsid w:val="00FA2DDA"/>
    <w:rsid w:val="00FB771C"/>
    <w:rsid w:val="00FC3DC2"/>
    <w:rsid w:val="00FD493D"/>
    <w:rsid w:val="00FD6345"/>
    <w:rsid w:val="00FE7459"/>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3141"/>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20059730">
      <w:bodyDiv w:val="1"/>
      <w:marLeft w:val="0"/>
      <w:marRight w:val="0"/>
      <w:marTop w:val="0"/>
      <w:marBottom w:val="0"/>
      <w:divBdr>
        <w:top w:val="none" w:sz="0" w:space="0" w:color="auto"/>
        <w:left w:val="none" w:sz="0" w:space="0" w:color="auto"/>
        <w:bottom w:val="none" w:sz="0" w:space="0" w:color="auto"/>
        <w:right w:val="none" w:sz="0" w:space="0" w:color="auto"/>
      </w:divBdr>
    </w:div>
    <w:div w:id="24598828">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71435869">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2943842">
      <w:bodyDiv w:val="1"/>
      <w:marLeft w:val="0"/>
      <w:marRight w:val="0"/>
      <w:marTop w:val="0"/>
      <w:marBottom w:val="0"/>
      <w:divBdr>
        <w:top w:val="none" w:sz="0" w:space="0" w:color="auto"/>
        <w:left w:val="none" w:sz="0" w:space="0" w:color="auto"/>
        <w:bottom w:val="none" w:sz="0" w:space="0" w:color="auto"/>
        <w:right w:val="none" w:sz="0" w:space="0" w:color="auto"/>
      </w:divBdr>
    </w:div>
    <w:div w:id="99178786">
      <w:bodyDiv w:val="1"/>
      <w:marLeft w:val="0"/>
      <w:marRight w:val="0"/>
      <w:marTop w:val="0"/>
      <w:marBottom w:val="0"/>
      <w:divBdr>
        <w:top w:val="none" w:sz="0" w:space="0" w:color="auto"/>
        <w:left w:val="none" w:sz="0" w:space="0" w:color="auto"/>
        <w:bottom w:val="none" w:sz="0" w:space="0" w:color="auto"/>
        <w:right w:val="none" w:sz="0" w:space="0" w:color="auto"/>
      </w:divBdr>
    </w:div>
    <w:div w:id="106389246">
      <w:bodyDiv w:val="1"/>
      <w:marLeft w:val="0"/>
      <w:marRight w:val="0"/>
      <w:marTop w:val="0"/>
      <w:marBottom w:val="0"/>
      <w:divBdr>
        <w:top w:val="none" w:sz="0" w:space="0" w:color="auto"/>
        <w:left w:val="none" w:sz="0" w:space="0" w:color="auto"/>
        <w:bottom w:val="none" w:sz="0" w:space="0" w:color="auto"/>
        <w:right w:val="none" w:sz="0" w:space="0" w:color="auto"/>
      </w:divBdr>
    </w:div>
    <w:div w:id="112751080">
      <w:bodyDiv w:val="1"/>
      <w:marLeft w:val="0"/>
      <w:marRight w:val="0"/>
      <w:marTop w:val="0"/>
      <w:marBottom w:val="0"/>
      <w:divBdr>
        <w:top w:val="none" w:sz="0" w:space="0" w:color="auto"/>
        <w:left w:val="none" w:sz="0" w:space="0" w:color="auto"/>
        <w:bottom w:val="none" w:sz="0" w:space="0" w:color="auto"/>
        <w:right w:val="none" w:sz="0" w:space="0" w:color="auto"/>
      </w:divBdr>
    </w:div>
    <w:div w:id="112751988">
      <w:bodyDiv w:val="1"/>
      <w:marLeft w:val="0"/>
      <w:marRight w:val="0"/>
      <w:marTop w:val="0"/>
      <w:marBottom w:val="0"/>
      <w:divBdr>
        <w:top w:val="none" w:sz="0" w:space="0" w:color="auto"/>
        <w:left w:val="none" w:sz="0" w:space="0" w:color="auto"/>
        <w:bottom w:val="none" w:sz="0" w:space="0" w:color="auto"/>
        <w:right w:val="none" w:sz="0" w:space="0" w:color="auto"/>
      </w:divBdr>
    </w:div>
    <w:div w:id="116947524">
      <w:bodyDiv w:val="1"/>
      <w:marLeft w:val="0"/>
      <w:marRight w:val="0"/>
      <w:marTop w:val="0"/>
      <w:marBottom w:val="0"/>
      <w:divBdr>
        <w:top w:val="none" w:sz="0" w:space="0" w:color="auto"/>
        <w:left w:val="none" w:sz="0" w:space="0" w:color="auto"/>
        <w:bottom w:val="none" w:sz="0" w:space="0" w:color="auto"/>
        <w:right w:val="none" w:sz="0" w:space="0" w:color="auto"/>
      </w:divBdr>
    </w:div>
    <w:div w:id="129592120">
      <w:bodyDiv w:val="1"/>
      <w:marLeft w:val="0"/>
      <w:marRight w:val="0"/>
      <w:marTop w:val="0"/>
      <w:marBottom w:val="0"/>
      <w:divBdr>
        <w:top w:val="none" w:sz="0" w:space="0" w:color="auto"/>
        <w:left w:val="none" w:sz="0" w:space="0" w:color="auto"/>
        <w:bottom w:val="none" w:sz="0" w:space="0" w:color="auto"/>
        <w:right w:val="none" w:sz="0" w:space="0" w:color="auto"/>
      </w:divBdr>
    </w:div>
    <w:div w:id="130680528">
      <w:bodyDiv w:val="1"/>
      <w:marLeft w:val="0"/>
      <w:marRight w:val="0"/>
      <w:marTop w:val="0"/>
      <w:marBottom w:val="0"/>
      <w:divBdr>
        <w:top w:val="none" w:sz="0" w:space="0" w:color="auto"/>
        <w:left w:val="none" w:sz="0" w:space="0" w:color="auto"/>
        <w:bottom w:val="none" w:sz="0" w:space="0" w:color="auto"/>
        <w:right w:val="none" w:sz="0" w:space="0" w:color="auto"/>
      </w:divBdr>
    </w:div>
    <w:div w:id="142741560">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46439445">
      <w:bodyDiv w:val="1"/>
      <w:marLeft w:val="0"/>
      <w:marRight w:val="0"/>
      <w:marTop w:val="0"/>
      <w:marBottom w:val="0"/>
      <w:divBdr>
        <w:top w:val="none" w:sz="0" w:space="0" w:color="auto"/>
        <w:left w:val="none" w:sz="0" w:space="0" w:color="auto"/>
        <w:bottom w:val="none" w:sz="0" w:space="0" w:color="auto"/>
        <w:right w:val="none" w:sz="0" w:space="0" w:color="auto"/>
      </w:divBdr>
    </w:div>
    <w:div w:id="161429515">
      <w:bodyDiv w:val="1"/>
      <w:marLeft w:val="0"/>
      <w:marRight w:val="0"/>
      <w:marTop w:val="0"/>
      <w:marBottom w:val="0"/>
      <w:divBdr>
        <w:top w:val="none" w:sz="0" w:space="0" w:color="auto"/>
        <w:left w:val="none" w:sz="0" w:space="0" w:color="auto"/>
        <w:bottom w:val="none" w:sz="0" w:space="0" w:color="auto"/>
        <w:right w:val="none" w:sz="0" w:space="0" w:color="auto"/>
      </w:divBdr>
    </w:div>
    <w:div w:id="166138116">
      <w:bodyDiv w:val="1"/>
      <w:marLeft w:val="0"/>
      <w:marRight w:val="0"/>
      <w:marTop w:val="0"/>
      <w:marBottom w:val="0"/>
      <w:divBdr>
        <w:top w:val="none" w:sz="0" w:space="0" w:color="auto"/>
        <w:left w:val="none" w:sz="0" w:space="0" w:color="auto"/>
        <w:bottom w:val="none" w:sz="0" w:space="0" w:color="auto"/>
        <w:right w:val="none" w:sz="0" w:space="0" w:color="auto"/>
      </w:divBdr>
    </w:div>
    <w:div w:id="172501841">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12666363">
      <w:bodyDiv w:val="1"/>
      <w:marLeft w:val="0"/>
      <w:marRight w:val="0"/>
      <w:marTop w:val="0"/>
      <w:marBottom w:val="0"/>
      <w:divBdr>
        <w:top w:val="none" w:sz="0" w:space="0" w:color="auto"/>
        <w:left w:val="none" w:sz="0" w:space="0" w:color="auto"/>
        <w:bottom w:val="none" w:sz="0" w:space="0" w:color="auto"/>
        <w:right w:val="none" w:sz="0" w:space="0" w:color="auto"/>
      </w:divBdr>
    </w:div>
    <w:div w:id="229583116">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286084628">
      <w:bodyDiv w:val="1"/>
      <w:marLeft w:val="0"/>
      <w:marRight w:val="0"/>
      <w:marTop w:val="0"/>
      <w:marBottom w:val="0"/>
      <w:divBdr>
        <w:top w:val="none" w:sz="0" w:space="0" w:color="auto"/>
        <w:left w:val="none" w:sz="0" w:space="0" w:color="auto"/>
        <w:bottom w:val="none" w:sz="0" w:space="0" w:color="auto"/>
        <w:right w:val="none" w:sz="0" w:space="0" w:color="auto"/>
      </w:divBdr>
    </w:div>
    <w:div w:id="291599257">
      <w:bodyDiv w:val="1"/>
      <w:marLeft w:val="0"/>
      <w:marRight w:val="0"/>
      <w:marTop w:val="0"/>
      <w:marBottom w:val="0"/>
      <w:divBdr>
        <w:top w:val="none" w:sz="0" w:space="0" w:color="auto"/>
        <w:left w:val="none" w:sz="0" w:space="0" w:color="auto"/>
        <w:bottom w:val="none" w:sz="0" w:space="0" w:color="auto"/>
        <w:right w:val="none" w:sz="0" w:space="0" w:color="auto"/>
      </w:divBdr>
    </w:div>
    <w:div w:id="295262497">
      <w:bodyDiv w:val="1"/>
      <w:marLeft w:val="0"/>
      <w:marRight w:val="0"/>
      <w:marTop w:val="0"/>
      <w:marBottom w:val="0"/>
      <w:divBdr>
        <w:top w:val="none" w:sz="0" w:space="0" w:color="auto"/>
        <w:left w:val="none" w:sz="0" w:space="0" w:color="auto"/>
        <w:bottom w:val="none" w:sz="0" w:space="0" w:color="auto"/>
        <w:right w:val="none" w:sz="0" w:space="0" w:color="auto"/>
      </w:divBdr>
    </w:div>
    <w:div w:id="301541363">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20235519">
      <w:bodyDiv w:val="1"/>
      <w:marLeft w:val="0"/>
      <w:marRight w:val="0"/>
      <w:marTop w:val="0"/>
      <w:marBottom w:val="0"/>
      <w:divBdr>
        <w:top w:val="none" w:sz="0" w:space="0" w:color="auto"/>
        <w:left w:val="none" w:sz="0" w:space="0" w:color="auto"/>
        <w:bottom w:val="none" w:sz="0" w:space="0" w:color="auto"/>
        <w:right w:val="none" w:sz="0" w:space="0" w:color="auto"/>
      </w:divBdr>
    </w:div>
    <w:div w:id="323633559">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5369983">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72535799">
      <w:bodyDiv w:val="1"/>
      <w:marLeft w:val="0"/>
      <w:marRight w:val="0"/>
      <w:marTop w:val="0"/>
      <w:marBottom w:val="0"/>
      <w:divBdr>
        <w:top w:val="none" w:sz="0" w:space="0" w:color="auto"/>
        <w:left w:val="none" w:sz="0" w:space="0" w:color="auto"/>
        <w:bottom w:val="none" w:sz="0" w:space="0" w:color="auto"/>
        <w:right w:val="none" w:sz="0" w:space="0" w:color="auto"/>
      </w:divBdr>
    </w:div>
    <w:div w:id="375786036">
      <w:bodyDiv w:val="1"/>
      <w:marLeft w:val="0"/>
      <w:marRight w:val="0"/>
      <w:marTop w:val="0"/>
      <w:marBottom w:val="0"/>
      <w:divBdr>
        <w:top w:val="none" w:sz="0" w:space="0" w:color="auto"/>
        <w:left w:val="none" w:sz="0" w:space="0" w:color="auto"/>
        <w:bottom w:val="none" w:sz="0" w:space="0" w:color="auto"/>
        <w:right w:val="none" w:sz="0" w:space="0" w:color="auto"/>
      </w:divBdr>
    </w:div>
    <w:div w:id="387656865">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395326213">
      <w:bodyDiv w:val="1"/>
      <w:marLeft w:val="0"/>
      <w:marRight w:val="0"/>
      <w:marTop w:val="0"/>
      <w:marBottom w:val="0"/>
      <w:divBdr>
        <w:top w:val="none" w:sz="0" w:space="0" w:color="auto"/>
        <w:left w:val="none" w:sz="0" w:space="0" w:color="auto"/>
        <w:bottom w:val="none" w:sz="0" w:space="0" w:color="auto"/>
        <w:right w:val="none" w:sz="0" w:space="0" w:color="auto"/>
      </w:divBdr>
    </w:div>
    <w:div w:id="399249446">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22334852">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490409900">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31111009">
      <w:bodyDiv w:val="1"/>
      <w:marLeft w:val="0"/>
      <w:marRight w:val="0"/>
      <w:marTop w:val="0"/>
      <w:marBottom w:val="0"/>
      <w:divBdr>
        <w:top w:val="none" w:sz="0" w:space="0" w:color="auto"/>
        <w:left w:val="none" w:sz="0" w:space="0" w:color="auto"/>
        <w:bottom w:val="none" w:sz="0" w:space="0" w:color="auto"/>
        <w:right w:val="none" w:sz="0" w:space="0" w:color="auto"/>
      </w:divBdr>
    </w:div>
    <w:div w:id="549608077">
      <w:bodyDiv w:val="1"/>
      <w:marLeft w:val="0"/>
      <w:marRight w:val="0"/>
      <w:marTop w:val="0"/>
      <w:marBottom w:val="0"/>
      <w:divBdr>
        <w:top w:val="none" w:sz="0" w:space="0" w:color="auto"/>
        <w:left w:val="none" w:sz="0" w:space="0" w:color="auto"/>
        <w:bottom w:val="none" w:sz="0" w:space="0" w:color="auto"/>
        <w:right w:val="none" w:sz="0" w:space="0" w:color="auto"/>
      </w:divBdr>
    </w:div>
    <w:div w:id="607586287">
      <w:bodyDiv w:val="1"/>
      <w:marLeft w:val="0"/>
      <w:marRight w:val="0"/>
      <w:marTop w:val="0"/>
      <w:marBottom w:val="0"/>
      <w:divBdr>
        <w:top w:val="none" w:sz="0" w:space="0" w:color="auto"/>
        <w:left w:val="none" w:sz="0" w:space="0" w:color="auto"/>
        <w:bottom w:val="none" w:sz="0" w:space="0" w:color="auto"/>
        <w:right w:val="none" w:sz="0" w:space="0" w:color="auto"/>
      </w:divBdr>
    </w:div>
    <w:div w:id="609822604">
      <w:bodyDiv w:val="1"/>
      <w:marLeft w:val="0"/>
      <w:marRight w:val="0"/>
      <w:marTop w:val="0"/>
      <w:marBottom w:val="0"/>
      <w:divBdr>
        <w:top w:val="none" w:sz="0" w:space="0" w:color="auto"/>
        <w:left w:val="none" w:sz="0" w:space="0" w:color="auto"/>
        <w:bottom w:val="none" w:sz="0" w:space="0" w:color="auto"/>
        <w:right w:val="none" w:sz="0" w:space="0" w:color="auto"/>
      </w:divBdr>
    </w:div>
    <w:div w:id="615523822">
      <w:bodyDiv w:val="1"/>
      <w:marLeft w:val="0"/>
      <w:marRight w:val="0"/>
      <w:marTop w:val="0"/>
      <w:marBottom w:val="0"/>
      <w:divBdr>
        <w:top w:val="none" w:sz="0" w:space="0" w:color="auto"/>
        <w:left w:val="none" w:sz="0" w:space="0" w:color="auto"/>
        <w:bottom w:val="none" w:sz="0" w:space="0" w:color="auto"/>
        <w:right w:val="none" w:sz="0" w:space="0" w:color="auto"/>
      </w:divBdr>
    </w:div>
    <w:div w:id="616104503">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1352734">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18826833">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51319586">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773718915">
      <w:bodyDiv w:val="1"/>
      <w:marLeft w:val="0"/>
      <w:marRight w:val="0"/>
      <w:marTop w:val="0"/>
      <w:marBottom w:val="0"/>
      <w:divBdr>
        <w:top w:val="none" w:sz="0" w:space="0" w:color="auto"/>
        <w:left w:val="none" w:sz="0" w:space="0" w:color="auto"/>
        <w:bottom w:val="none" w:sz="0" w:space="0" w:color="auto"/>
        <w:right w:val="none" w:sz="0" w:space="0" w:color="auto"/>
      </w:divBdr>
    </w:div>
    <w:div w:id="806051350">
      <w:bodyDiv w:val="1"/>
      <w:marLeft w:val="0"/>
      <w:marRight w:val="0"/>
      <w:marTop w:val="0"/>
      <w:marBottom w:val="0"/>
      <w:divBdr>
        <w:top w:val="none" w:sz="0" w:space="0" w:color="auto"/>
        <w:left w:val="none" w:sz="0" w:space="0" w:color="auto"/>
        <w:bottom w:val="none" w:sz="0" w:space="0" w:color="auto"/>
        <w:right w:val="none" w:sz="0" w:space="0" w:color="auto"/>
      </w:divBdr>
    </w:div>
    <w:div w:id="807087001">
      <w:bodyDiv w:val="1"/>
      <w:marLeft w:val="0"/>
      <w:marRight w:val="0"/>
      <w:marTop w:val="0"/>
      <w:marBottom w:val="0"/>
      <w:divBdr>
        <w:top w:val="none" w:sz="0" w:space="0" w:color="auto"/>
        <w:left w:val="none" w:sz="0" w:space="0" w:color="auto"/>
        <w:bottom w:val="none" w:sz="0" w:space="0" w:color="auto"/>
        <w:right w:val="none" w:sz="0" w:space="0" w:color="auto"/>
      </w:divBdr>
    </w:div>
    <w:div w:id="808984670">
      <w:bodyDiv w:val="1"/>
      <w:marLeft w:val="0"/>
      <w:marRight w:val="0"/>
      <w:marTop w:val="0"/>
      <w:marBottom w:val="0"/>
      <w:divBdr>
        <w:top w:val="none" w:sz="0" w:space="0" w:color="auto"/>
        <w:left w:val="none" w:sz="0" w:space="0" w:color="auto"/>
        <w:bottom w:val="none" w:sz="0" w:space="0" w:color="auto"/>
        <w:right w:val="none" w:sz="0" w:space="0" w:color="auto"/>
      </w:divBdr>
    </w:div>
    <w:div w:id="834688874">
      <w:bodyDiv w:val="1"/>
      <w:marLeft w:val="0"/>
      <w:marRight w:val="0"/>
      <w:marTop w:val="0"/>
      <w:marBottom w:val="0"/>
      <w:divBdr>
        <w:top w:val="none" w:sz="0" w:space="0" w:color="auto"/>
        <w:left w:val="none" w:sz="0" w:space="0" w:color="auto"/>
        <w:bottom w:val="none" w:sz="0" w:space="0" w:color="auto"/>
        <w:right w:val="none" w:sz="0" w:space="0" w:color="auto"/>
      </w:divBdr>
    </w:div>
    <w:div w:id="881212805">
      <w:bodyDiv w:val="1"/>
      <w:marLeft w:val="0"/>
      <w:marRight w:val="0"/>
      <w:marTop w:val="0"/>
      <w:marBottom w:val="0"/>
      <w:divBdr>
        <w:top w:val="none" w:sz="0" w:space="0" w:color="auto"/>
        <w:left w:val="none" w:sz="0" w:space="0" w:color="auto"/>
        <w:bottom w:val="none" w:sz="0" w:space="0" w:color="auto"/>
        <w:right w:val="none" w:sz="0" w:space="0" w:color="auto"/>
      </w:divBdr>
    </w:div>
    <w:div w:id="910039056">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59863413">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70537097">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096167230">
      <w:bodyDiv w:val="1"/>
      <w:marLeft w:val="0"/>
      <w:marRight w:val="0"/>
      <w:marTop w:val="0"/>
      <w:marBottom w:val="0"/>
      <w:divBdr>
        <w:top w:val="none" w:sz="0" w:space="0" w:color="auto"/>
        <w:left w:val="none" w:sz="0" w:space="0" w:color="auto"/>
        <w:bottom w:val="none" w:sz="0" w:space="0" w:color="auto"/>
        <w:right w:val="none" w:sz="0" w:space="0" w:color="auto"/>
      </w:divBdr>
    </w:div>
    <w:div w:id="1100493583">
      <w:bodyDiv w:val="1"/>
      <w:marLeft w:val="0"/>
      <w:marRight w:val="0"/>
      <w:marTop w:val="0"/>
      <w:marBottom w:val="0"/>
      <w:divBdr>
        <w:top w:val="none" w:sz="0" w:space="0" w:color="auto"/>
        <w:left w:val="none" w:sz="0" w:space="0" w:color="auto"/>
        <w:bottom w:val="none" w:sz="0" w:space="0" w:color="auto"/>
        <w:right w:val="none" w:sz="0" w:space="0" w:color="auto"/>
      </w:divBdr>
    </w:div>
    <w:div w:id="1102382716">
      <w:bodyDiv w:val="1"/>
      <w:marLeft w:val="0"/>
      <w:marRight w:val="0"/>
      <w:marTop w:val="0"/>
      <w:marBottom w:val="0"/>
      <w:divBdr>
        <w:top w:val="none" w:sz="0" w:space="0" w:color="auto"/>
        <w:left w:val="none" w:sz="0" w:space="0" w:color="auto"/>
        <w:bottom w:val="none" w:sz="0" w:space="0" w:color="auto"/>
        <w:right w:val="none" w:sz="0" w:space="0" w:color="auto"/>
      </w:divBdr>
    </w:div>
    <w:div w:id="1109156319">
      <w:bodyDiv w:val="1"/>
      <w:marLeft w:val="0"/>
      <w:marRight w:val="0"/>
      <w:marTop w:val="0"/>
      <w:marBottom w:val="0"/>
      <w:divBdr>
        <w:top w:val="none" w:sz="0" w:space="0" w:color="auto"/>
        <w:left w:val="none" w:sz="0" w:space="0" w:color="auto"/>
        <w:bottom w:val="none" w:sz="0" w:space="0" w:color="auto"/>
        <w:right w:val="none" w:sz="0" w:space="0" w:color="auto"/>
      </w:divBdr>
    </w:div>
    <w:div w:id="1111973003">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58377716">
      <w:bodyDiv w:val="1"/>
      <w:marLeft w:val="0"/>
      <w:marRight w:val="0"/>
      <w:marTop w:val="0"/>
      <w:marBottom w:val="0"/>
      <w:divBdr>
        <w:top w:val="none" w:sz="0" w:space="0" w:color="auto"/>
        <w:left w:val="none" w:sz="0" w:space="0" w:color="auto"/>
        <w:bottom w:val="none" w:sz="0" w:space="0" w:color="auto"/>
        <w:right w:val="none" w:sz="0" w:space="0" w:color="auto"/>
      </w:divBdr>
    </w:div>
    <w:div w:id="1160077230">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84323400">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196846765">
      <w:bodyDiv w:val="1"/>
      <w:marLeft w:val="0"/>
      <w:marRight w:val="0"/>
      <w:marTop w:val="0"/>
      <w:marBottom w:val="0"/>
      <w:divBdr>
        <w:top w:val="none" w:sz="0" w:space="0" w:color="auto"/>
        <w:left w:val="none" w:sz="0" w:space="0" w:color="auto"/>
        <w:bottom w:val="none" w:sz="0" w:space="0" w:color="auto"/>
        <w:right w:val="none" w:sz="0" w:space="0" w:color="auto"/>
      </w:divBdr>
    </w:div>
    <w:div w:id="1213229560">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2277024">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43949183">
      <w:bodyDiv w:val="1"/>
      <w:marLeft w:val="0"/>
      <w:marRight w:val="0"/>
      <w:marTop w:val="0"/>
      <w:marBottom w:val="0"/>
      <w:divBdr>
        <w:top w:val="none" w:sz="0" w:space="0" w:color="auto"/>
        <w:left w:val="none" w:sz="0" w:space="0" w:color="auto"/>
        <w:bottom w:val="none" w:sz="0" w:space="0" w:color="auto"/>
        <w:right w:val="none" w:sz="0" w:space="0" w:color="auto"/>
      </w:divBdr>
    </w:div>
    <w:div w:id="1255553422">
      <w:bodyDiv w:val="1"/>
      <w:marLeft w:val="0"/>
      <w:marRight w:val="0"/>
      <w:marTop w:val="0"/>
      <w:marBottom w:val="0"/>
      <w:divBdr>
        <w:top w:val="none" w:sz="0" w:space="0" w:color="auto"/>
        <w:left w:val="none" w:sz="0" w:space="0" w:color="auto"/>
        <w:bottom w:val="none" w:sz="0" w:space="0" w:color="auto"/>
        <w:right w:val="none" w:sz="0" w:space="0" w:color="auto"/>
      </w:divBdr>
    </w:div>
    <w:div w:id="1269049009">
      <w:bodyDiv w:val="1"/>
      <w:marLeft w:val="0"/>
      <w:marRight w:val="0"/>
      <w:marTop w:val="0"/>
      <w:marBottom w:val="0"/>
      <w:divBdr>
        <w:top w:val="none" w:sz="0" w:space="0" w:color="auto"/>
        <w:left w:val="none" w:sz="0" w:space="0" w:color="auto"/>
        <w:bottom w:val="none" w:sz="0" w:space="0" w:color="auto"/>
        <w:right w:val="none" w:sz="0" w:space="0" w:color="auto"/>
      </w:divBdr>
    </w:div>
    <w:div w:id="12789496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284265275">
      <w:bodyDiv w:val="1"/>
      <w:marLeft w:val="0"/>
      <w:marRight w:val="0"/>
      <w:marTop w:val="0"/>
      <w:marBottom w:val="0"/>
      <w:divBdr>
        <w:top w:val="none" w:sz="0" w:space="0" w:color="auto"/>
        <w:left w:val="none" w:sz="0" w:space="0" w:color="auto"/>
        <w:bottom w:val="none" w:sz="0" w:space="0" w:color="auto"/>
        <w:right w:val="none" w:sz="0" w:space="0" w:color="auto"/>
      </w:divBdr>
    </w:div>
    <w:div w:id="1290631264">
      <w:bodyDiv w:val="1"/>
      <w:marLeft w:val="0"/>
      <w:marRight w:val="0"/>
      <w:marTop w:val="0"/>
      <w:marBottom w:val="0"/>
      <w:divBdr>
        <w:top w:val="none" w:sz="0" w:space="0" w:color="auto"/>
        <w:left w:val="none" w:sz="0" w:space="0" w:color="auto"/>
        <w:bottom w:val="none" w:sz="0" w:space="0" w:color="auto"/>
        <w:right w:val="none" w:sz="0" w:space="0" w:color="auto"/>
      </w:divBdr>
    </w:div>
    <w:div w:id="1292321435">
      <w:bodyDiv w:val="1"/>
      <w:marLeft w:val="0"/>
      <w:marRight w:val="0"/>
      <w:marTop w:val="0"/>
      <w:marBottom w:val="0"/>
      <w:divBdr>
        <w:top w:val="none" w:sz="0" w:space="0" w:color="auto"/>
        <w:left w:val="none" w:sz="0" w:space="0" w:color="auto"/>
        <w:bottom w:val="none" w:sz="0" w:space="0" w:color="auto"/>
        <w:right w:val="none" w:sz="0" w:space="0" w:color="auto"/>
      </w:divBdr>
    </w:div>
    <w:div w:id="1304506475">
      <w:bodyDiv w:val="1"/>
      <w:marLeft w:val="0"/>
      <w:marRight w:val="0"/>
      <w:marTop w:val="0"/>
      <w:marBottom w:val="0"/>
      <w:divBdr>
        <w:top w:val="none" w:sz="0" w:space="0" w:color="auto"/>
        <w:left w:val="none" w:sz="0" w:space="0" w:color="auto"/>
        <w:bottom w:val="none" w:sz="0" w:space="0" w:color="auto"/>
        <w:right w:val="none" w:sz="0" w:space="0" w:color="auto"/>
      </w:divBdr>
    </w:div>
    <w:div w:id="1307278153">
      <w:bodyDiv w:val="1"/>
      <w:marLeft w:val="0"/>
      <w:marRight w:val="0"/>
      <w:marTop w:val="0"/>
      <w:marBottom w:val="0"/>
      <w:divBdr>
        <w:top w:val="none" w:sz="0" w:space="0" w:color="auto"/>
        <w:left w:val="none" w:sz="0" w:space="0" w:color="auto"/>
        <w:bottom w:val="none" w:sz="0" w:space="0" w:color="auto"/>
        <w:right w:val="none" w:sz="0" w:space="0" w:color="auto"/>
      </w:divBdr>
    </w:div>
    <w:div w:id="1335183805">
      <w:bodyDiv w:val="1"/>
      <w:marLeft w:val="0"/>
      <w:marRight w:val="0"/>
      <w:marTop w:val="0"/>
      <w:marBottom w:val="0"/>
      <w:divBdr>
        <w:top w:val="none" w:sz="0" w:space="0" w:color="auto"/>
        <w:left w:val="none" w:sz="0" w:space="0" w:color="auto"/>
        <w:bottom w:val="none" w:sz="0" w:space="0" w:color="auto"/>
        <w:right w:val="none" w:sz="0" w:space="0" w:color="auto"/>
      </w:divBdr>
    </w:div>
    <w:div w:id="1338776941">
      <w:bodyDiv w:val="1"/>
      <w:marLeft w:val="0"/>
      <w:marRight w:val="0"/>
      <w:marTop w:val="0"/>
      <w:marBottom w:val="0"/>
      <w:divBdr>
        <w:top w:val="none" w:sz="0" w:space="0" w:color="auto"/>
        <w:left w:val="none" w:sz="0" w:space="0" w:color="auto"/>
        <w:bottom w:val="none" w:sz="0" w:space="0" w:color="auto"/>
        <w:right w:val="none" w:sz="0" w:space="0" w:color="auto"/>
      </w:divBdr>
    </w:div>
    <w:div w:id="1349480587">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392726746">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22599605">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
    <w:div w:id="1487089790">
      <w:bodyDiv w:val="1"/>
      <w:marLeft w:val="0"/>
      <w:marRight w:val="0"/>
      <w:marTop w:val="0"/>
      <w:marBottom w:val="0"/>
      <w:divBdr>
        <w:top w:val="none" w:sz="0" w:space="0" w:color="auto"/>
        <w:left w:val="none" w:sz="0" w:space="0" w:color="auto"/>
        <w:bottom w:val="none" w:sz="0" w:space="0" w:color="auto"/>
        <w:right w:val="none" w:sz="0" w:space="0" w:color="auto"/>
      </w:divBdr>
    </w:div>
    <w:div w:id="1493982715">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0818207">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570193381">
      <w:bodyDiv w:val="1"/>
      <w:marLeft w:val="0"/>
      <w:marRight w:val="0"/>
      <w:marTop w:val="0"/>
      <w:marBottom w:val="0"/>
      <w:divBdr>
        <w:top w:val="none" w:sz="0" w:space="0" w:color="auto"/>
        <w:left w:val="none" w:sz="0" w:space="0" w:color="auto"/>
        <w:bottom w:val="none" w:sz="0" w:space="0" w:color="auto"/>
        <w:right w:val="none" w:sz="0" w:space="0" w:color="auto"/>
      </w:divBdr>
    </w:div>
    <w:div w:id="1575898349">
      <w:bodyDiv w:val="1"/>
      <w:marLeft w:val="0"/>
      <w:marRight w:val="0"/>
      <w:marTop w:val="0"/>
      <w:marBottom w:val="0"/>
      <w:divBdr>
        <w:top w:val="none" w:sz="0" w:space="0" w:color="auto"/>
        <w:left w:val="none" w:sz="0" w:space="0" w:color="auto"/>
        <w:bottom w:val="none" w:sz="0" w:space="0" w:color="auto"/>
        <w:right w:val="none" w:sz="0" w:space="0" w:color="auto"/>
      </w:divBdr>
    </w:div>
    <w:div w:id="1590894461">
      <w:bodyDiv w:val="1"/>
      <w:marLeft w:val="0"/>
      <w:marRight w:val="0"/>
      <w:marTop w:val="0"/>
      <w:marBottom w:val="0"/>
      <w:divBdr>
        <w:top w:val="none" w:sz="0" w:space="0" w:color="auto"/>
        <w:left w:val="none" w:sz="0" w:space="0" w:color="auto"/>
        <w:bottom w:val="none" w:sz="0" w:space="0" w:color="auto"/>
        <w:right w:val="none" w:sz="0" w:space="0" w:color="auto"/>
      </w:divBdr>
    </w:div>
    <w:div w:id="160807919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55453341">
      <w:bodyDiv w:val="1"/>
      <w:marLeft w:val="0"/>
      <w:marRight w:val="0"/>
      <w:marTop w:val="0"/>
      <w:marBottom w:val="0"/>
      <w:divBdr>
        <w:top w:val="none" w:sz="0" w:space="0" w:color="auto"/>
        <w:left w:val="none" w:sz="0" w:space="0" w:color="auto"/>
        <w:bottom w:val="none" w:sz="0" w:space="0" w:color="auto"/>
        <w:right w:val="none" w:sz="0" w:space="0" w:color="auto"/>
      </w:divBdr>
    </w:div>
    <w:div w:id="1660647295">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680621884">
      <w:bodyDiv w:val="1"/>
      <w:marLeft w:val="0"/>
      <w:marRight w:val="0"/>
      <w:marTop w:val="0"/>
      <w:marBottom w:val="0"/>
      <w:divBdr>
        <w:top w:val="none" w:sz="0" w:space="0" w:color="auto"/>
        <w:left w:val="none" w:sz="0" w:space="0" w:color="auto"/>
        <w:bottom w:val="none" w:sz="0" w:space="0" w:color="auto"/>
        <w:right w:val="none" w:sz="0" w:space="0" w:color="auto"/>
      </w:divBdr>
    </w:div>
    <w:div w:id="1711763879">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47679104">
      <w:bodyDiv w:val="1"/>
      <w:marLeft w:val="0"/>
      <w:marRight w:val="0"/>
      <w:marTop w:val="0"/>
      <w:marBottom w:val="0"/>
      <w:divBdr>
        <w:top w:val="none" w:sz="0" w:space="0" w:color="auto"/>
        <w:left w:val="none" w:sz="0" w:space="0" w:color="auto"/>
        <w:bottom w:val="none" w:sz="0" w:space="0" w:color="auto"/>
        <w:right w:val="none" w:sz="0" w:space="0" w:color="auto"/>
      </w:divBdr>
    </w:div>
    <w:div w:id="1759054386">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77554404">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789814570">
      <w:bodyDiv w:val="1"/>
      <w:marLeft w:val="0"/>
      <w:marRight w:val="0"/>
      <w:marTop w:val="0"/>
      <w:marBottom w:val="0"/>
      <w:divBdr>
        <w:top w:val="none" w:sz="0" w:space="0" w:color="auto"/>
        <w:left w:val="none" w:sz="0" w:space="0" w:color="auto"/>
        <w:bottom w:val="none" w:sz="0" w:space="0" w:color="auto"/>
        <w:right w:val="none" w:sz="0" w:space="0" w:color="auto"/>
      </w:divBdr>
    </w:div>
    <w:div w:id="1796214461">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869948408">
      <w:bodyDiv w:val="1"/>
      <w:marLeft w:val="0"/>
      <w:marRight w:val="0"/>
      <w:marTop w:val="0"/>
      <w:marBottom w:val="0"/>
      <w:divBdr>
        <w:top w:val="none" w:sz="0" w:space="0" w:color="auto"/>
        <w:left w:val="none" w:sz="0" w:space="0" w:color="auto"/>
        <w:bottom w:val="none" w:sz="0" w:space="0" w:color="auto"/>
        <w:right w:val="none" w:sz="0" w:space="0" w:color="auto"/>
      </w:divBdr>
    </w:div>
    <w:div w:id="1873372248">
      <w:bodyDiv w:val="1"/>
      <w:marLeft w:val="0"/>
      <w:marRight w:val="0"/>
      <w:marTop w:val="0"/>
      <w:marBottom w:val="0"/>
      <w:divBdr>
        <w:top w:val="none" w:sz="0" w:space="0" w:color="auto"/>
        <w:left w:val="none" w:sz="0" w:space="0" w:color="auto"/>
        <w:bottom w:val="none" w:sz="0" w:space="0" w:color="auto"/>
        <w:right w:val="none" w:sz="0" w:space="0" w:color="auto"/>
      </w:divBdr>
    </w:div>
    <w:div w:id="1903759576">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14241093">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1972393033">
      <w:bodyDiv w:val="1"/>
      <w:marLeft w:val="0"/>
      <w:marRight w:val="0"/>
      <w:marTop w:val="0"/>
      <w:marBottom w:val="0"/>
      <w:divBdr>
        <w:top w:val="none" w:sz="0" w:space="0" w:color="auto"/>
        <w:left w:val="none" w:sz="0" w:space="0" w:color="auto"/>
        <w:bottom w:val="none" w:sz="0" w:space="0" w:color="auto"/>
        <w:right w:val="none" w:sz="0" w:space="0" w:color="auto"/>
      </w:divBdr>
    </w:div>
    <w:div w:id="1988166002">
      <w:bodyDiv w:val="1"/>
      <w:marLeft w:val="0"/>
      <w:marRight w:val="0"/>
      <w:marTop w:val="0"/>
      <w:marBottom w:val="0"/>
      <w:divBdr>
        <w:top w:val="none" w:sz="0" w:space="0" w:color="auto"/>
        <w:left w:val="none" w:sz="0" w:space="0" w:color="auto"/>
        <w:bottom w:val="none" w:sz="0" w:space="0" w:color="auto"/>
        <w:right w:val="none" w:sz="0" w:space="0" w:color="auto"/>
      </w:divBdr>
    </w:div>
    <w:div w:id="2002587531">
      <w:bodyDiv w:val="1"/>
      <w:marLeft w:val="0"/>
      <w:marRight w:val="0"/>
      <w:marTop w:val="0"/>
      <w:marBottom w:val="0"/>
      <w:divBdr>
        <w:top w:val="none" w:sz="0" w:space="0" w:color="auto"/>
        <w:left w:val="none" w:sz="0" w:space="0" w:color="auto"/>
        <w:bottom w:val="none" w:sz="0" w:space="0" w:color="auto"/>
        <w:right w:val="none" w:sz="0" w:space="0" w:color="auto"/>
      </w:divBdr>
    </w:div>
    <w:div w:id="2014793419">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37928388">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74355740">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 w:id="2145536828">
      <w:bodyDiv w:val="1"/>
      <w:marLeft w:val="0"/>
      <w:marRight w:val="0"/>
      <w:marTop w:val="0"/>
      <w:marBottom w:val="0"/>
      <w:divBdr>
        <w:top w:val="none" w:sz="0" w:space="0" w:color="auto"/>
        <w:left w:val="none" w:sz="0" w:space="0" w:color="auto"/>
        <w:bottom w:val="none" w:sz="0" w:space="0" w:color="auto"/>
        <w:right w:val="none" w:sz="0" w:space="0" w:color="auto"/>
      </w:divBdr>
    </w:div>
    <w:div w:id="2145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53</Pages>
  <Words>18609</Words>
  <Characters>106075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10</cp:revision>
  <dcterms:created xsi:type="dcterms:W3CDTF">2023-09-26T08:43:00Z</dcterms:created>
  <dcterms:modified xsi:type="dcterms:W3CDTF">2024-01-11T06:19:00Z</dcterms:modified>
</cp:coreProperties>
</file>