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6D" w:rsidRDefault="00F05BB1" w:rsidP="0007776D">
      <w:pPr>
        <w:spacing w:after="0"/>
        <w:jc w:val="center"/>
        <w:rPr>
          <w:b/>
          <w:sz w:val="32"/>
          <w:szCs w:val="32"/>
          <w:u w:val="single"/>
        </w:rPr>
      </w:pPr>
      <w:bookmarkStart w:id="0" w:name="_Hlk182996810"/>
      <w:r w:rsidRPr="00575B47">
        <w:rPr>
          <w:b/>
          <w:sz w:val="32"/>
          <w:szCs w:val="32"/>
          <w:u w:val="single"/>
        </w:rPr>
        <w:t xml:space="preserve">NOTICE TO THE </w:t>
      </w:r>
      <w:r w:rsidR="0048325A" w:rsidRPr="00575B47">
        <w:rPr>
          <w:b/>
          <w:sz w:val="32"/>
          <w:szCs w:val="32"/>
          <w:u w:val="single"/>
        </w:rPr>
        <w:t>UNIT HOLDERS</w:t>
      </w:r>
      <w:r w:rsidRPr="00575B47">
        <w:rPr>
          <w:b/>
          <w:sz w:val="32"/>
          <w:szCs w:val="32"/>
          <w:u w:val="single"/>
        </w:rPr>
        <w:t xml:space="preserve"> </w:t>
      </w:r>
    </w:p>
    <w:p w:rsidR="00D948A9" w:rsidRPr="00B839AA" w:rsidRDefault="00F05BB1" w:rsidP="00B839AA">
      <w:pPr>
        <w:spacing w:after="0"/>
        <w:jc w:val="center"/>
        <w:rPr>
          <w:b/>
          <w:sz w:val="32"/>
          <w:szCs w:val="32"/>
          <w:u w:val="single"/>
        </w:rPr>
      </w:pPr>
      <w:r w:rsidRPr="008C7B47">
        <w:rPr>
          <w:b/>
          <w:sz w:val="28"/>
          <w:szCs w:val="28"/>
          <w:u w:val="single"/>
        </w:rPr>
        <w:t xml:space="preserve">OF </w:t>
      </w:r>
      <w:bookmarkStart w:id="1" w:name="_Hlk173328557"/>
    </w:p>
    <w:bookmarkEnd w:id="1"/>
    <w:p w:rsidR="00C913C7" w:rsidRDefault="00754FE4" w:rsidP="00F11D15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Pakistan Pension Fund</w:t>
      </w:r>
    </w:p>
    <w:p w:rsidR="00754FE4" w:rsidRDefault="00754FE4" w:rsidP="00F11D15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Alahmra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Islamic Pension Fund</w:t>
      </w:r>
    </w:p>
    <w:p w:rsidR="00754FE4" w:rsidRPr="00F11D15" w:rsidRDefault="00754FE4" w:rsidP="00F11D15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MCB KPK Govt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Employees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Pension Fund</w:t>
      </w:r>
    </w:p>
    <w:p w:rsidR="00754FE4" w:rsidRPr="00F11D15" w:rsidRDefault="00754FE4" w:rsidP="00754FE4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MCB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Alhamra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KPK Govt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Employees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Pension Fund</w:t>
      </w:r>
    </w:p>
    <w:p w:rsidR="00F05BB1" w:rsidRDefault="00F05BB1" w:rsidP="00F11D15">
      <w:pPr>
        <w:rPr>
          <w:b/>
          <w:sz w:val="28"/>
          <w:szCs w:val="28"/>
          <w:u w:val="single"/>
        </w:rPr>
      </w:pPr>
    </w:p>
    <w:p w:rsidR="00444C60" w:rsidRDefault="00575B47" w:rsidP="00E677C7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 xml:space="preserve">This is to inform </w:t>
      </w:r>
      <w:r w:rsidR="00771D34">
        <w:rPr>
          <w:rFonts w:ascii="Times New Roman" w:hAnsi="Times New Roman" w:cs="Times New Roman"/>
        </w:rPr>
        <w:t>the</w:t>
      </w:r>
      <w:r w:rsidRPr="000E16D3">
        <w:rPr>
          <w:rFonts w:ascii="Times New Roman" w:hAnsi="Times New Roman" w:cs="Times New Roman"/>
        </w:rPr>
        <w:t xml:space="preserve"> Unit Holders of the above-mentioned </w:t>
      </w:r>
      <w:r w:rsidR="00754FE4">
        <w:rPr>
          <w:rFonts w:ascii="Times New Roman" w:hAnsi="Times New Roman" w:cs="Times New Roman"/>
        </w:rPr>
        <w:t>Pension</w:t>
      </w:r>
      <w:r w:rsidRPr="000E16D3">
        <w:rPr>
          <w:rFonts w:ascii="Times New Roman" w:hAnsi="Times New Roman" w:cs="Times New Roman"/>
        </w:rPr>
        <w:t xml:space="preserve"> Scheme</w:t>
      </w:r>
      <w:r w:rsidR="00754FE4">
        <w:rPr>
          <w:rFonts w:ascii="Times New Roman" w:hAnsi="Times New Roman" w:cs="Times New Roman"/>
        </w:rPr>
        <w:t>s</w:t>
      </w:r>
      <w:r w:rsidRPr="000E16D3">
        <w:rPr>
          <w:rFonts w:ascii="Times New Roman" w:hAnsi="Times New Roman" w:cs="Times New Roman"/>
        </w:rPr>
        <w:t xml:space="preserve"> (“Scheme”) </w:t>
      </w:r>
      <w:r w:rsidR="001B06AA" w:rsidRPr="000E16D3">
        <w:rPr>
          <w:rFonts w:ascii="Times New Roman" w:hAnsi="Times New Roman" w:cs="Times New Roman"/>
        </w:rPr>
        <w:t>managed by MCB Investment</w:t>
      </w:r>
      <w:r w:rsidR="008627AC">
        <w:rPr>
          <w:rFonts w:ascii="Times New Roman" w:hAnsi="Times New Roman" w:cs="Times New Roman"/>
        </w:rPr>
        <w:t xml:space="preserve"> Management</w:t>
      </w:r>
      <w:r w:rsidR="001B06AA" w:rsidRPr="000E16D3">
        <w:rPr>
          <w:rFonts w:ascii="Times New Roman" w:hAnsi="Times New Roman" w:cs="Times New Roman"/>
        </w:rPr>
        <w:t xml:space="preserve"> Limited that the </w:t>
      </w:r>
      <w:r w:rsidR="00754FE4">
        <w:rPr>
          <w:rFonts w:ascii="Times New Roman" w:hAnsi="Times New Roman" w:cs="Times New Roman"/>
        </w:rPr>
        <w:t>Trustee of respective Schemes has given consent on the Consolidated Offering Document with regards to Key Fact Statement (KFS) of the Schemes as per SECP Circular No. 17 of 2025</w:t>
      </w:r>
      <w:r w:rsidR="00754FE4" w:rsidRPr="000E16D3">
        <w:rPr>
          <w:rFonts w:ascii="Times New Roman" w:hAnsi="Times New Roman" w:cs="Times New Roman"/>
        </w:rPr>
        <w:t>.</w:t>
      </w:r>
      <w:r w:rsidRPr="000E16D3">
        <w:rPr>
          <w:rFonts w:ascii="Times New Roman" w:hAnsi="Times New Roman" w:cs="Times New Roman"/>
        </w:rPr>
        <w:t xml:space="preserve"> </w:t>
      </w:r>
      <w:r w:rsidR="00B839AA">
        <w:rPr>
          <w:rFonts w:ascii="Times New Roman" w:hAnsi="Times New Roman" w:cs="Times New Roman"/>
        </w:rPr>
        <w:t>The</w:t>
      </w:r>
      <w:r w:rsidR="001B06AA" w:rsidRPr="000E16D3">
        <w:rPr>
          <w:rFonts w:ascii="Times New Roman" w:hAnsi="Times New Roman" w:cs="Times New Roman"/>
        </w:rPr>
        <w:t xml:space="preserve"> </w:t>
      </w:r>
      <w:r w:rsidR="00F11D15" w:rsidRPr="000E16D3">
        <w:rPr>
          <w:rFonts w:ascii="Times New Roman" w:hAnsi="Times New Roman" w:cs="Times New Roman"/>
        </w:rPr>
        <w:t>Offering Document</w:t>
      </w:r>
      <w:r w:rsidR="00E677C7">
        <w:rPr>
          <w:rFonts w:ascii="Times New Roman" w:hAnsi="Times New Roman" w:cs="Times New Roman"/>
        </w:rPr>
        <w:t xml:space="preserve">s </w:t>
      </w:r>
      <w:r w:rsidRPr="000E16D3">
        <w:rPr>
          <w:rFonts w:ascii="Times New Roman" w:hAnsi="Times New Roman" w:cs="Times New Roman"/>
        </w:rPr>
        <w:t xml:space="preserve">can be viewed at company’s website: </w:t>
      </w:r>
      <w:hyperlink r:id="rId6" w:history="1">
        <w:r w:rsidR="00444C60" w:rsidRPr="000E16D3">
          <w:rPr>
            <w:rStyle w:val="Hyperlink"/>
            <w:rFonts w:ascii="Times New Roman" w:hAnsi="Times New Roman" w:cs="Times New Roman"/>
          </w:rPr>
          <w:t>www.mcbfunds.com</w:t>
        </w:r>
      </w:hyperlink>
    </w:p>
    <w:p w:rsidR="00E677C7" w:rsidRPr="00E677C7" w:rsidRDefault="00E677C7" w:rsidP="00E677C7">
      <w:pPr>
        <w:spacing w:after="0"/>
        <w:jc w:val="both"/>
        <w:rPr>
          <w:rFonts w:ascii="Times New Roman" w:hAnsi="Times New Roman" w:cs="Times New Roman"/>
        </w:rPr>
      </w:pPr>
    </w:p>
    <w:p w:rsidR="0077525B" w:rsidRPr="00A134CC" w:rsidRDefault="001B06AA" w:rsidP="00A134C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16D3">
        <w:rPr>
          <w:rFonts w:ascii="Times New Roman" w:hAnsi="Times New Roman" w:cs="Times New Roman"/>
        </w:rPr>
        <w:t>In the above context</w:t>
      </w:r>
      <w:r w:rsidR="00533E7B" w:rsidRPr="000E16D3">
        <w:rPr>
          <w:rFonts w:ascii="Times New Roman" w:hAnsi="Times New Roman" w:cs="Times New Roman"/>
        </w:rPr>
        <w:t xml:space="preserve"> and in terms of Regulation 44(</w:t>
      </w:r>
      <w:r w:rsidR="00C913C7">
        <w:rPr>
          <w:rFonts w:ascii="Times New Roman" w:hAnsi="Times New Roman" w:cs="Times New Roman"/>
        </w:rPr>
        <w:t>6</w:t>
      </w:r>
      <w:r w:rsidRPr="000E16D3">
        <w:rPr>
          <w:rFonts w:ascii="Times New Roman" w:hAnsi="Times New Roman" w:cs="Times New Roman"/>
        </w:rPr>
        <w:t xml:space="preserve">) of the Non-Banking Finance Companies and Notified Entities Regulations, 2008, </w:t>
      </w:r>
      <w:r w:rsidRPr="000E16D3">
        <w:rPr>
          <w:rFonts w:ascii="Times New Roman" w:hAnsi="Times New Roman" w:cs="Times New Roman"/>
          <w:sz w:val="21"/>
          <w:szCs w:val="21"/>
        </w:rPr>
        <w:t xml:space="preserve">the above referred </w:t>
      </w:r>
      <w:r w:rsidR="00E677C7">
        <w:rPr>
          <w:rFonts w:ascii="Times New Roman" w:hAnsi="Times New Roman" w:cs="Times New Roman"/>
          <w:sz w:val="21"/>
          <w:szCs w:val="21"/>
        </w:rPr>
        <w:t>amendments</w:t>
      </w:r>
      <w:r w:rsidRPr="000E16D3">
        <w:rPr>
          <w:rFonts w:ascii="Times New Roman" w:hAnsi="Times New Roman" w:cs="Times New Roman"/>
          <w:sz w:val="21"/>
          <w:szCs w:val="21"/>
        </w:rPr>
        <w:t xml:space="preserve"> shall be made effective from </w:t>
      </w:r>
      <w:bookmarkStart w:id="2" w:name="_Hlk182996800"/>
      <w:r w:rsidR="00754FE4">
        <w:rPr>
          <w:rFonts w:ascii="Times New Roman" w:hAnsi="Times New Roman" w:cs="Times New Roman"/>
        </w:rPr>
        <w:t>August</w:t>
      </w:r>
      <w:r w:rsidR="00575B47" w:rsidRPr="00AA4EF5">
        <w:rPr>
          <w:rFonts w:ascii="Times New Roman" w:hAnsi="Times New Roman" w:cs="Times New Roman"/>
        </w:rPr>
        <w:t xml:space="preserve"> </w:t>
      </w:r>
      <w:r w:rsidR="00754FE4">
        <w:rPr>
          <w:rFonts w:ascii="Times New Roman" w:hAnsi="Times New Roman" w:cs="Times New Roman"/>
        </w:rPr>
        <w:t>1</w:t>
      </w:r>
      <w:r w:rsidR="00E60371">
        <w:rPr>
          <w:rFonts w:ascii="Times New Roman" w:hAnsi="Times New Roman" w:cs="Times New Roman"/>
        </w:rPr>
        <w:t>8</w:t>
      </w:r>
      <w:r w:rsidR="00533E7B" w:rsidRPr="00AA4EF5">
        <w:rPr>
          <w:rFonts w:ascii="Times New Roman" w:hAnsi="Times New Roman" w:cs="Times New Roman"/>
        </w:rPr>
        <w:t>, 202</w:t>
      </w:r>
      <w:r w:rsidR="00A2695C">
        <w:rPr>
          <w:rFonts w:ascii="Times New Roman" w:hAnsi="Times New Roman" w:cs="Times New Roman"/>
        </w:rPr>
        <w:t>5</w:t>
      </w:r>
      <w:r w:rsidR="000E16D3" w:rsidRPr="00AA4EF5">
        <w:rPr>
          <w:rFonts w:ascii="Times New Roman" w:hAnsi="Times New Roman" w:cs="Times New Roman"/>
        </w:rPr>
        <w:t>.</w:t>
      </w:r>
      <w:bookmarkEnd w:id="2"/>
    </w:p>
    <w:p w:rsidR="001B06AA" w:rsidRPr="000E16D3" w:rsidRDefault="001B06AA" w:rsidP="00F05BB1">
      <w:pPr>
        <w:jc w:val="both"/>
        <w:rPr>
          <w:rFonts w:ascii="Times New Roman" w:hAnsi="Times New Roman" w:cs="Times New Roman"/>
        </w:rPr>
      </w:pP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Sd.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Altaf Ahmed Faisal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Company Secretary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</w:p>
    <w:p w:rsidR="00533E7B" w:rsidRPr="000E16D3" w:rsidRDefault="00754FE4" w:rsidP="00533E7B">
      <w:pPr>
        <w:spacing w:after="0"/>
        <w:jc w:val="both"/>
        <w:rPr>
          <w:rFonts w:ascii="Times New Roman" w:hAnsi="Times New Roman" w:cs="Times New Roman"/>
        </w:rPr>
      </w:pPr>
      <w:bookmarkStart w:id="3" w:name="_Hlk182996791"/>
      <w:r>
        <w:rPr>
          <w:rFonts w:ascii="Times New Roman" w:hAnsi="Times New Roman" w:cs="Times New Roman"/>
        </w:rPr>
        <w:t>August</w:t>
      </w:r>
      <w:r w:rsidR="00F11D15">
        <w:rPr>
          <w:rFonts w:ascii="Times New Roman" w:hAnsi="Times New Roman" w:cs="Times New Roman"/>
        </w:rPr>
        <w:t xml:space="preserve"> </w:t>
      </w:r>
      <w:r w:rsidR="00A04298">
        <w:rPr>
          <w:rFonts w:ascii="Times New Roman" w:hAnsi="Times New Roman" w:cs="Times New Roman"/>
        </w:rPr>
        <w:t>12</w:t>
      </w:r>
      <w:r w:rsidR="00533E7B" w:rsidRPr="000E16D3">
        <w:rPr>
          <w:rFonts w:ascii="Times New Roman" w:hAnsi="Times New Roman" w:cs="Times New Roman"/>
        </w:rPr>
        <w:t>, 202</w:t>
      </w:r>
      <w:r w:rsidR="00771D34">
        <w:rPr>
          <w:rFonts w:ascii="Times New Roman" w:hAnsi="Times New Roman" w:cs="Times New Roman"/>
        </w:rPr>
        <w:t>5</w:t>
      </w:r>
      <w:bookmarkStart w:id="4" w:name="_GoBack"/>
      <w:bookmarkEnd w:id="4"/>
    </w:p>
    <w:bookmarkEnd w:id="0"/>
    <w:bookmarkEnd w:id="3"/>
    <w:p w:rsidR="00420177" w:rsidRPr="000E16D3" w:rsidRDefault="00420177" w:rsidP="00533E7B">
      <w:pPr>
        <w:jc w:val="both"/>
        <w:rPr>
          <w:rFonts w:ascii="Times New Roman" w:hAnsi="Times New Roman" w:cs="Times New Roman"/>
        </w:rPr>
      </w:pPr>
    </w:p>
    <w:sectPr w:rsidR="00420177" w:rsidRPr="000E16D3" w:rsidSect="004B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22FE"/>
    <w:multiLevelType w:val="hybridMultilevel"/>
    <w:tmpl w:val="410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B1"/>
    <w:rsid w:val="00006768"/>
    <w:rsid w:val="0007776D"/>
    <w:rsid w:val="000E0943"/>
    <w:rsid w:val="000E16D3"/>
    <w:rsid w:val="00122328"/>
    <w:rsid w:val="00124BB4"/>
    <w:rsid w:val="00130EE6"/>
    <w:rsid w:val="001B06AA"/>
    <w:rsid w:val="0023190E"/>
    <w:rsid w:val="00246EA6"/>
    <w:rsid w:val="002A1D52"/>
    <w:rsid w:val="002C3E8D"/>
    <w:rsid w:val="0038709F"/>
    <w:rsid w:val="004064F5"/>
    <w:rsid w:val="0041496F"/>
    <w:rsid w:val="00420177"/>
    <w:rsid w:val="00444C60"/>
    <w:rsid w:val="00446760"/>
    <w:rsid w:val="0048325A"/>
    <w:rsid w:val="0049459D"/>
    <w:rsid w:val="0049759B"/>
    <w:rsid w:val="004B6D73"/>
    <w:rsid w:val="00533E7B"/>
    <w:rsid w:val="00575B47"/>
    <w:rsid w:val="00582481"/>
    <w:rsid w:val="005B59E3"/>
    <w:rsid w:val="005B7CD2"/>
    <w:rsid w:val="00610DF5"/>
    <w:rsid w:val="006F5DE7"/>
    <w:rsid w:val="00754FE4"/>
    <w:rsid w:val="00771B6B"/>
    <w:rsid w:val="00771D34"/>
    <w:rsid w:val="0077525B"/>
    <w:rsid w:val="007A16E0"/>
    <w:rsid w:val="007E0EA8"/>
    <w:rsid w:val="007E750C"/>
    <w:rsid w:val="008627AC"/>
    <w:rsid w:val="008B5115"/>
    <w:rsid w:val="00940A01"/>
    <w:rsid w:val="00A04298"/>
    <w:rsid w:val="00A134CC"/>
    <w:rsid w:val="00A2695C"/>
    <w:rsid w:val="00AA4EF5"/>
    <w:rsid w:val="00B552B4"/>
    <w:rsid w:val="00B75D91"/>
    <w:rsid w:val="00B839AA"/>
    <w:rsid w:val="00C21ED1"/>
    <w:rsid w:val="00C913C7"/>
    <w:rsid w:val="00D07F44"/>
    <w:rsid w:val="00D23C0C"/>
    <w:rsid w:val="00D31AC4"/>
    <w:rsid w:val="00D644F1"/>
    <w:rsid w:val="00D829F0"/>
    <w:rsid w:val="00D948A9"/>
    <w:rsid w:val="00DC58EF"/>
    <w:rsid w:val="00E60371"/>
    <w:rsid w:val="00E677C7"/>
    <w:rsid w:val="00E82320"/>
    <w:rsid w:val="00F05BB1"/>
    <w:rsid w:val="00F11D15"/>
    <w:rsid w:val="00F85ADA"/>
    <w:rsid w:val="00F932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BE2B"/>
  <w15:docId w15:val="{F09996C4-97C5-46A7-A636-E617BC8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CD2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44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cbfun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6A1A-21E5-4234-878A-D18B7312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aamir.qadir</dc:creator>
  <cp:lastModifiedBy>Haroon Shehzad</cp:lastModifiedBy>
  <cp:revision>36</cp:revision>
  <dcterms:created xsi:type="dcterms:W3CDTF">2017-03-17T07:31:00Z</dcterms:created>
  <dcterms:modified xsi:type="dcterms:W3CDTF">2025-08-11T07:15:00Z</dcterms:modified>
</cp:coreProperties>
</file>